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34774" w14:textId="77777777" w:rsidR="00941683" w:rsidRDefault="00941683" w:rsidP="00941683">
      <w:bookmarkStart w:id="0" w:name="_Ref394327153"/>
      <w:bookmarkStart w:id="1" w:name="_Ref394327161"/>
      <w:bookmarkStart w:id="2" w:name="_Toc394446146"/>
    </w:p>
    <w:p w14:paraId="2E18DC32" w14:textId="77777777" w:rsidR="00941683" w:rsidRDefault="00941683" w:rsidP="00941683"/>
    <w:p w14:paraId="0AC446B4" w14:textId="77777777" w:rsidR="00941683" w:rsidRDefault="00941683" w:rsidP="00941683"/>
    <w:p w14:paraId="26D92762" w14:textId="77777777" w:rsidR="00941683" w:rsidRDefault="00941683" w:rsidP="00941683"/>
    <w:p w14:paraId="73C892B8" w14:textId="77777777" w:rsidR="00941683" w:rsidRDefault="00941683" w:rsidP="00941683"/>
    <w:p w14:paraId="70B19EEB" w14:textId="77777777" w:rsidR="00941683" w:rsidRDefault="00941683" w:rsidP="00941683"/>
    <w:p w14:paraId="692A83CC" w14:textId="77777777" w:rsidR="00941683" w:rsidRDefault="00941683" w:rsidP="00941683"/>
    <w:p w14:paraId="1F0F0EA4" w14:textId="77777777" w:rsidR="00326258" w:rsidRDefault="00326258" w:rsidP="00941683"/>
    <w:p w14:paraId="1FB161C7" w14:textId="77777777" w:rsidR="00941683" w:rsidRDefault="00941683" w:rsidP="00941683"/>
    <w:p w14:paraId="7300CB9C" w14:textId="77777777" w:rsidR="00941683" w:rsidRDefault="00941683" w:rsidP="00941683"/>
    <w:p w14:paraId="009001FB" w14:textId="77777777" w:rsidR="00941683" w:rsidRDefault="00941683" w:rsidP="00941683"/>
    <w:p w14:paraId="2FA8B9A6" w14:textId="77777777" w:rsidR="00941683" w:rsidRDefault="00941683" w:rsidP="00941683"/>
    <w:sdt>
      <w:sdtPr>
        <w:rPr>
          <w:sz w:val="52"/>
        </w:rPr>
        <w:alias w:val="Title"/>
        <w:tag w:val=""/>
        <w:id w:val="399487443"/>
        <w:placeholder>
          <w:docPart w:val="6C8CCB1544C04457B92B1A95FC444F10"/>
        </w:placeholder>
        <w:dataBinding w:prefixMappings="xmlns:ns0='http://purl.org/dc/elements/1.1/' xmlns:ns1='http://schemas.openxmlformats.org/package/2006/metadata/core-properties' " w:xpath="/ns1:coreProperties[1]/ns0:title[1]" w:storeItemID="{6C3C8BC8-F283-45AE-878A-BAB7291924A1}"/>
        <w:text/>
      </w:sdtPr>
      <w:sdtContent>
        <w:p w14:paraId="1393E593" w14:textId="45233AA5" w:rsidR="00941683" w:rsidRDefault="00390AD2" w:rsidP="00390AD2">
          <w:pPr>
            <w:pStyle w:val="Nzov"/>
          </w:pPr>
          <w:r w:rsidRPr="00390AD2">
            <w:rPr>
              <w:sz w:val="52"/>
            </w:rPr>
            <w:t>Metodický pokyn k vypracovaniu finančnej analýzy projektu, analýzy nákladov a prínosov projektu</w:t>
          </w:r>
          <w:r w:rsidR="00A536EA">
            <w:rPr>
              <w:sz w:val="52"/>
            </w:rPr>
            <w:t xml:space="preserve">, </w:t>
          </w:r>
          <w:r w:rsidRPr="00390AD2">
            <w:rPr>
              <w:sz w:val="52"/>
            </w:rPr>
            <w:t xml:space="preserve">finančnej analýzy žiadateľa o NFP </w:t>
          </w:r>
          <w:r w:rsidR="00A536EA">
            <w:rPr>
              <w:sz w:val="52"/>
            </w:rPr>
            <w:t xml:space="preserve">a Celkových nákladov na vlastníctvo </w:t>
          </w:r>
          <w:r w:rsidRPr="00390AD2">
            <w:rPr>
              <w:sz w:val="52"/>
            </w:rPr>
            <w:t>v programovom období 2014 – 2020</w:t>
          </w:r>
        </w:p>
      </w:sdtContent>
    </w:sdt>
    <w:p w14:paraId="58632595" w14:textId="77777777" w:rsidR="00BE2293" w:rsidRDefault="00BE2293" w:rsidP="00941683"/>
    <w:p w14:paraId="6EA5ABDA" w14:textId="77777777" w:rsidR="00BE2293" w:rsidRDefault="00BE2293" w:rsidP="00941683"/>
    <w:p w14:paraId="64BECB85" w14:textId="77777777" w:rsidR="00BE2293" w:rsidRDefault="00BE2293" w:rsidP="00941683"/>
    <w:p w14:paraId="06929AF1" w14:textId="77777777" w:rsidR="00BE2293" w:rsidRDefault="00BE2293" w:rsidP="00941683"/>
    <w:p w14:paraId="414EB910" w14:textId="77777777" w:rsidR="00BE2293" w:rsidRDefault="00BE2293" w:rsidP="00941683"/>
    <w:p w14:paraId="041E666B" w14:textId="77777777" w:rsidR="00BE2293" w:rsidRDefault="00BE2293" w:rsidP="00941683"/>
    <w:p w14:paraId="4D352F21" w14:textId="77777777" w:rsidR="00BE2293" w:rsidRDefault="00BE2293" w:rsidP="00941683"/>
    <w:p w14:paraId="0C5DED38" w14:textId="77777777" w:rsidR="00BE2293" w:rsidRDefault="00BE2293" w:rsidP="00941683"/>
    <w:p w14:paraId="0A6223DC" w14:textId="77777777" w:rsidR="00BE2293" w:rsidRDefault="00BE2293" w:rsidP="00941683"/>
    <w:p w14:paraId="72067055" w14:textId="77777777" w:rsidR="00BE2293" w:rsidRDefault="00BE2293" w:rsidP="00941683"/>
    <w:p w14:paraId="7C105CAB" w14:textId="607D009B" w:rsidR="005036BC" w:rsidRDefault="005036BC">
      <w:pPr>
        <w:spacing w:after="160" w:line="259" w:lineRule="auto"/>
        <w:jc w:val="left"/>
      </w:pPr>
    </w:p>
    <w:p w14:paraId="2FA536A5" w14:textId="77777777" w:rsidR="00390AD2" w:rsidRDefault="00390AD2">
      <w:pPr>
        <w:spacing w:after="160" w:line="259" w:lineRule="auto"/>
        <w:jc w:val="left"/>
      </w:pPr>
    </w:p>
    <w:sdt>
      <w:sdtPr>
        <w:rPr>
          <w:rFonts w:ascii="Arial Narrow" w:eastAsia="Times New Roman" w:hAnsi="Arial Narrow" w:cs="Times New Roman"/>
          <w:color w:val="auto"/>
          <w:sz w:val="22"/>
          <w:szCs w:val="36"/>
          <w:lang w:val="sk-SK"/>
        </w:rPr>
        <w:id w:val="-1412459520"/>
        <w:docPartObj>
          <w:docPartGallery w:val="Table of Contents"/>
          <w:docPartUnique/>
        </w:docPartObj>
      </w:sdtPr>
      <w:sdtEndPr>
        <w:rPr>
          <w:b/>
          <w:bCs/>
          <w:noProof/>
        </w:rPr>
      </w:sdtEndPr>
      <w:sdtContent>
        <w:p w14:paraId="0C4C7DBC" w14:textId="77777777" w:rsidR="00941683" w:rsidRPr="005E0A01" w:rsidRDefault="00941683" w:rsidP="00941683">
          <w:pPr>
            <w:pStyle w:val="Hlavikaobsahu"/>
            <w:rPr>
              <w:lang w:val="sk-SK"/>
            </w:rPr>
          </w:pPr>
          <w:r w:rsidRPr="005E0A01">
            <w:rPr>
              <w:lang w:val="sk-SK"/>
            </w:rPr>
            <w:t>OBSAH</w:t>
          </w:r>
        </w:p>
        <w:p w14:paraId="7491EE55" w14:textId="77777777" w:rsidR="0086360F" w:rsidRDefault="00941683">
          <w:pPr>
            <w:pStyle w:val="Obsah1"/>
            <w:tabs>
              <w:tab w:val="left" w:pos="440"/>
              <w:tab w:val="right" w:leader="dot" w:pos="9062"/>
            </w:tabs>
            <w:rPr>
              <w:rFonts w:asciiTheme="minorHAnsi" w:eastAsiaTheme="minorEastAsia" w:hAnsiTheme="minorHAnsi" w:cstheme="minorBidi"/>
              <w:noProof/>
              <w:szCs w:val="22"/>
              <w:lang w:eastAsia="sk-SK"/>
            </w:rPr>
          </w:pPr>
          <w:r w:rsidRPr="005E0A01">
            <w:fldChar w:fldCharType="begin"/>
          </w:r>
          <w:r w:rsidRPr="005E0A01">
            <w:instrText xml:space="preserve"> TOC \o "1-3" \h \z \u </w:instrText>
          </w:r>
          <w:r w:rsidRPr="005E0A01">
            <w:fldChar w:fldCharType="separate"/>
          </w:r>
          <w:hyperlink w:anchor="_Toc422390668" w:history="1">
            <w:r w:rsidR="0086360F" w:rsidRPr="006E60D7">
              <w:rPr>
                <w:rStyle w:val="Hypertextovprepojenie"/>
                <w:noProof/>
              </w:rPr>
              <w:t>1</w:t>
            </w:r>
            <w:r w:rsidR="0086360F">
              <w:rPr>
                <w:rFonts w:asciiTheme="minorHAnsi" w:eastAsiaTheme="minorEastAsia" w:hAnsiTheme="minorHAnsi" w:cstheme="minorBidi"/>
                <w:noProof/>
                <w:szCs w:val="22"/>
                <w:lang w:eastAsia="sk-SK"/>
              </w:rPr>
              <w:tab/>
            </w:r>
            <w:r w:rsidR="0086360F" w:rsidRPr="006E60D7">
              <w:rPr>
                <w:rStyle w:val="Hypertextovprepojenie"/>
                <w:noProof/>
              </w:rPr>
              <w:t>Účel dokumentu</w:t>
            </w:r>
            <w:r w:rsidR="0086360F">
              <w:rPr>
                <w:noProof/>
                <w:webHidden/>
              </w:rPr>
              <w:tab/>
            </w:r>
            <w:r w:rsidR="0086360F">
              <w:rPr>
                <w:noProof/>
                <w:webHidden/>
              </w:rPr>
              <w:fldChar w:fldCharType="begin"/>
            </w:r>
            <w:r w:rsidR="0086360F">
              <w:rPr>
                <w:noProof/>
                <w:webHidden/>
              </w:rPr>
              <w:instrText xml:space="preserve"> PAGEREF _Toc422390668 \h </w:instrText>
            </w:r>
            <w:r w:rsidR="0086360F">
              <w:rPr>
                <w:noProof/>
                <w:webHidden/>
              </w:rPr>
            </w:r>
            <w:r w:rsidR="0086360F">
              <w:rPr>
                <w:noProof/>
                <w:webHidden/>
              </w:rPr>
              <w:fldChar w:fldCharType="separate"/>
            </w:r>
            <w:r w:rsidR="0086360F">
              <w:rPr>
                <w:noProof/>
                <w:webHidden/>
              </w:rPr>
              <w:t>3</w:t>
            </w:r>
            <w:r w:rsidR="0086360F">
              <w:rPr>
                <w:noProof/>
                <w:webHidden/>
              </w:rPr>
              <w:fldChar w:fldCharType="end"/>
            </w:r>
          </w:hyperlink>
        </w:p>
        <w:p w14:paraId="1D7120CD" w14:textId="77777777" w:rsidR="0086360F" w:rsidRDefault="0086360F">
          <w:pPr>
            <w:pStyle w:val="Obsah3"/>
            <w:tabs>
              <w:tab w:val="right" w:leader="dot" w:pos="9062"/>
            </w:tabs>
            <w:rPr>
              <w:rFonts w:asciiTheme="minorHAnsi" w:eastAsiaTheme="minorEastAsia" w:hAnsiTheme="minorHAnsi" w:cstheme="minorBidi"/>
              <w:noProof/>
              <w:szCs w:val="22"/>
              <w:lang w:eastAsia="sk-SK"/>
            </w:rPr>
          </w:pPr>
          <w:hyperlink w:anchor="_Toc422390669" w:history="1">
            <w:r w:rsidRPr="006E60D7">
              <w:rPr>
                <w:rStyle w:val="Hypertextovprepojenie"/>
                <w:noProof/>
              </w:rPr>
              <w:t>1.2 Podstatné zmeny oproti programovému obdobiu 2007 – 2013</w:t>
            </w:r>
            <w:r>
              <w:rPr>
                <w:noProof/>
                <w:webHidden/>
              </w:rPr>
              <w:tab/>
            </w:r>
            <w:r>
              <w:rPr>
                <w:noProof/>
                <w:webHidden/>
              </w:rPr>
              <w:fldChar w:fldCharType="begin"/>
            </w:r>
            <w:r>
              <w:rPr>
                <w:noProof/>
                <w:webHidden/>
              </w:rPr>
              <w:instrText xml:space="preserve"> PAGEREF _Toc422390669 \h </w:instrText>
            </w:r>
            <w:r>
              <w:rPr>
                <w:noProof/>
                <w:webHidden/>
              </w:rPr>
            </w:r>
            <w:r>
              <w:rPr>
                <w:noProof/>
                <w:webHidden/>
              </w:rPr>
              <w:fldChar w:fldCharType="separate"/>
            </w:r>
            <w:r>
              <w:rPr>
                <w:noProof/>
                <w:webHidden/>
              </w:rPr>
              <w:t>3</w:t>
            </w:r>
            <w:r>
              <w:rPr>
                <w:noProof/>
                <w:webHidden/>
              </w:rPr>
              <w:fldChar w:fldCharType="end"/>
            </w:r>
          </w:hyperlink>
        </w:p>
        <w:p w14:paraId="18041DEF" w14:textId="77777777" w:rsidR="0086360F" w:rsidRDefault="0086360F">
          <w:pPr>
            <w:pStyle w:val="Obsah1"/>
            <w:tabs>
              <w:tab w:val="left" w:pos="440"/>
              <w:tab w:val="right" w:leader="dot" w:pos="9062"/>
            </w:tabs>
            <w:rPr>
              <w:rFonts w:asciiTheme="minorHAnsi" w:eastAsiaTheme="minorEastAsia" w:hAnsiTheme="minorHAnsi" w:cstheme="minorBidi"/>
              <w:noProof/>
              <w:szCs w:val="22"/>
              <w:lang w:eastAsia="sk-SK"/>
            </w:rPr>
          </w:pPr>
          <w:hyperlink w:anchor="_Toc422390670" w:history="1">
            <w:r w:rsidRPr="006E60D7">
              <w:rPr>
                <w:rStyle w:val="Hypertextovprepojenie"/>
                <w:noProof/>
              </w:rPr>
              <w:t>2</w:t>
            </w:r>
            <w:r>
              <w:rPr>
                <w:rFonts w:asciiTheme="minorHAnsi" w:eastAsiaTheme="minorEastAsia" w:hAnsiTheme="minorHAnsi" w:cstheme="minorBidi"/>
                <w:noProof/>
                <w:szCs w:val="22"/>
                <w:lang w:eastAsia="sk-SK"/>
              </w:rPr>
              <w:tab/>
            </w:r>
            <w:r w:rsidRPr="006E60D7">
              <w:rPr>
                <w:rStyle w:val="Hypertextovprepojenie"/>
                <w:noProof/>
              </w:rPr>
              <w:t>Postup analýzy</w:t>
            </w:r>
            <w:r>
              <w:rPr>
                <w:noProof/>
                <w:webHidden/>
              </w:rPr>
              <w:tab/>
            </w:r>
            <w:r>
              <w:rPr>
                <w:noProof/>
                <w:webHidden/>
              </w:rPr>
              <w:fldChar w:fldCharType="begin"/>
            </w:r>
            <w:r>
              <w:rPr>
                <w:noProof/>
                <w:webHidden/>
              </w:rPr>
              <w:instrText xml:space="preserve"> PAGEREF _Toc422390670 \h </w:instrText>
            </w:r>
            <w:r>
              <w:rPr>
                <w:noProof/>
                <w:webHidden/>
              </w:rPr>
            </w:r>
            <w:r>
              <w:rPr>
                <w:noProof/>
                <w:webHidden/>
              </w:rPr>
              <w:fldChar w:fldCharType="separate"/>
            </w:r>
            <w:r>
              <w:rPr>
                <w:noProof/>
                <w:webHidden/>
              </w:rPr>
              <w:t>4</w:t>
            </w:r>
            <w:r>
              <w:rPr>
                <w:noProof/>
                <w:webHidden/>
              </w:rPr>
              <w:fldChar w:fldCharType="end"/>
            </w:r>
          </w:hyperlink>
        </w:p>
        <w:p w14:paraId="70FD1BE9"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1" w:history="1">
            <w:r w:rsidRPr="006E60D7">
              <w:rPr>
                <w:rStyle w:val="Hypertextovprepojenie"/>
                <w:noProof/>
              </w:rPr>
              <w:t>2.1</w:t>
            </w:r>
            <w:r>
              <w:rPr>
                <w:rFonts w:asciiTheme="minorHAnsi" w:eastAsiaTheme="minorEastAsia" w:hAnsiTheme="minorHAnsi" w:cstheme="minorBidi"/>
                <w:noProof/>
                <w:szCs w:val="22"/>
                <w:lang w:eastAsia="sk-SK"/>
              </w:rPr>
              <w:tab/>
            </w:r>
            <w:r w:rsidRPr="006E60D7">
              <w:rPr>
                <w:rStyle w:val="Hypertextovprepojenie"/>
                <w:noProof/>
              </w:rPr>
              <w:t>Vplyv inflácie</w:t>
            </w:r>
            <w:r>
              <w:rPr>
                <w:noProof/>
                <w:webHidden/>
              </w:rPr>
              <w:tab/>
            </w:r>
            <w:r>
              <w:rPr>
                <w:noProof/>
                <w:webHidden/>
              </w:rPr>
              <w:fldChar w:fldCharType="begin"/>
            </w:r>
            <w:r>
              <w:rPr>
                <w:noProof/>
                <w:webHidden/>
              </w:rPr>
              <w:instrText xml:space="preserve"> PAGEREF _Toc422390671 \h </w:instrText>
            </w:r>
            <w:r>
              <w:rPr>
                <w:noProof/>
                <w:webHidden/>
              </w:rPr>
            </w:r>
            <w:r>
              <w:rPr>
                <w:noProof/>
                <w:webHidden/>
              </w:rPr>
              <w:fldChar w:fldCharType="separate"/>
            </w:r>
            <w:r>
              <w:rPr>
                <w:noProof/>
                <w:webHidden/>
              </w:rPr>
              <w:t>4</w:t>
            </w:r>
            <w:r>
              <w:rPr>
                <w:noProof/>
                <w:webHidden/>
              </w:rPr>
              <w:fldChar w:fldCharType="end"/>
            </w:r>
          </w:hyperlink>
        </w:p>
        <w:p w14:paraId="39249B6D"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2" w:history="1">
            <w:r w:rsidRPr="006E60D7">
              <w:rPr>
                <w:rStyle w:val="Hypertextovprepojenie"/>
                <w:noProof/>
              </w:rPr>
              <w:t>2.2</w:t>
            </w:r>
            <w:r>
              <w:rPr>
                <w:rFonts w:asciiTheme="minorHAnsi" w:eastAsiaTheme="minorEastAsia" w:hAnsiTheme="minorHAnsi" w:cstheme="minorBidi"/>
                <w:noProof/>
                <w:szCs w:val="22"/>
                <w:lang w:eastAsia="sk-SK"/>
              </w:rPr>
              <w:tab/>
            </w:r>
            <w:r w:rsidRPr="006E60D7">
              <w:rPr>
                <w:rStyle w:val="Hypertextovprepojenie"/>
                <w:noProof/>
              </w:rPr>
              <w:t>Kľúčové kroky ekonomickej analýzy</w:t>
            </w:r>
            <w:r>
              <w:rPr>
                <w:noProof/>
                <w:webHidden/>
              </w:rPr>
              <w:tab/>
            </w:r>
            <w:r>
              <w:rPr>
                <w:noProof/>
                <w:webHidden/>
              </w:rPr>
              <w:fldChar w:fldCharType="begin"/>
            </w:r>
            <w:r>
              <w:rPr>
                <w:noProof/>
                <w:webHidden/>
              </w:rPr>
              <w:instrText xml:space="preserve"> PAGEREF _Toc422390672 \h </w:instrText>
            </w:r>
            <w:r>
              <w:rPr>
                <w:noProof/>
                <w:webHidden/>
              </w:rPr>
            </w:r>
            <w:r>
              <w:rPr>
                <w:noProof/>
                <w:webHidden/>
              </w:rPr>
              <w:fldChar w:fldCharType="separate"/>
            </w:r>
            <w:r>
              <w:rPr>
                <w:noProof/>
                <w:webHidden/>
              </w:rPr>
              <w:t>4</w:t>
            </w:r>
            <w:r>
              <w:rPr>
                <w:noProof/>
                <w:webHidden/>
              </w:rPr>
              <w:fldChar w:fldCharType="end"/>
            </w:r>
          </w:hyperlink>
        </w:p>
        <w:p w14:paraId="4C6B8016" w14:textId="77777777" w:rsidR="0086360F" w:rsidRDefault="0086360F">
          <w:pPr>
            <w:pStyle w:val="Obsah3"/>
            <w:tabs>
              <w:tab w:val="left" w:pos="1100"/>
              <w:tab w:val="right" w:leader="dot" w:pos="9062"/>
            </w:tabs>
            <w:rPr>
              <w:rFonts w:asciiTheme="minorHAnsi" w:eastAsiaTheme="minorEastAsia" w:hAnsiTheme="minorHAnsi" w:cstheme="minorBidi"/>
              <w:noProof/>
              <w:szCs w:val="22"/>
              <w:lang w:eastAsia="sk-SK"/>
            </w:rPr>
          </w:pPr>
          <w:hyperlink w:anchor="_Toc422390673" w:history="1">
            <w:r w:rsidRPr="006E60D7">
              <w:rPr>
                <w:rStyle w:val="Hypertextovprepojenie"/>
                <w:noProof/>
              </w:rPr>
              <w:t>2.2.1</w:t>
            </w:r>
            <w:r>
              <w:rPr>
                <w:rFonts w:asciiTheme="minorHAnsi" w:eastAsiaTheme="minorEastAsia" w:hAnsiTheme="minorHAnsi" w:cstheme="minorBidi"/>
                <w:noProof/>
                <w:szCs w:val="22"/>
                <w:lang w:eastAsia="sk-SK"/>
              </w:rPr>
              <w:tab/>
            </w:r>
            <w:r w:rsidRPr="006E60D7">
              <w:rPr>
                <w:rStyle w:val="Hypertextovprepojenie"/>
                <w:noProof/>
              </w:rPr>
              <w:t>Analýza citlivosti a rizík</w:t>
            </w:r>
            <w:r>
              <w:rPr>
                <w:noProof/>
                <w:webHidden/>
              </w:rPr>
              <w:tab/>
            </w:r>
            <w:r>
              <w:rPr>
                <w:noProof/>
                <w:webHidden/>
              </w:rPr>
              <w:fldChar w:fldCharType="begin"/>
            </w:r>
            <w:r>
              <w:rPr>
                <w:noProof/>
                <w:webHidden/>
              </w:rPr>
              <w:instrText xml:space="preserve"> PAGEREF _Toc422390673 \h </w:instrText>
            </w:r>
            <w:r>
              <w:rPr>
                <w:noProof/>
                <w:webHidden/>
              </w:rPr>
            </w:r>
            <w:r>
              <w:rPr>
                <w:noProof/>
                <w:webHidden/>
              </w:rPr>
              <w:fldChar w:fldCharType="separate"/>
            </w:r>
            <w:r>
              <w:rPr>
                <w:noProof/>
                <w:webHidden/>
              </w:rPr>
              <w:t>5</w:t>
            </w:r>
            <w:r>
              <w:rPr>
                <w:noProof/>
                <w:webHidden/>
              </w:rPr>
              <w:fldChar w:fldCharType="end"/>
            </w:r>
          </w:hyperlink>
        </w:p>
        <w:p w14:paraId="531D9D83"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4" w:history="1">
            <w:r w:rsidRPr="006E60D7">
              <w:rPr>
                <w:rStyle w:val="Hypertextovprepojenie"/>
                <w:noProof/>
              </w:rPr>
              <w:t>2.3</w:t>
            </w:r>
            <w:r>
              <w:rPr>
                <w:rFonts w:asciiTheme="minorHAnsi" w:eastAsiaTheme="minorEastAsia" w:hAnsiTheme="minorHAnsi" w:cstheme="minorBidi"/>
                <w:noProof/>
                <w:szCs w:val="22"/>
                <w:lang w:eastAsia="sk-SK"/>
              </w:rPr>
              <w:tab/>
            </w:r>
            <w:r w:rsidRPr="006E60D7">
              <w:rPr>
                <w:rStyle w:val="Hypertextovprepojenie"/>
                <w:noProof/>
              </w:rPr>
              <w:t>Interpretácia výsledkov kriteriálnych ukazovateľov.</w:t>
            </w:r>
            <w:r>
              <w:rPr>
                <w:noProof/>
                <w:webHidden/>
              </w:rPr>
              <w:tab/>
            </w:r>
            <w:r>
              <w:rPr>
                <w:noProof/>
                <w:webHidden/>
              </w:rPr>
              <w:fldChar w:fldCharType="begin"/>
            </w:r>
            <w:r>
              <w:rPr>
                <w:noProof/>
                <w:webHidden/>
              </w:rPr>
              <w:instrText xml:space="preserve"> PAGEREF _Toc422390674 \h </w:instrText>
            </w:r>
            <w:r>
              <w:rPr>
                <w:noProof/>
                <w:webHidden/>
              </w:rPr>
            </w:r>
            <w:r>
              <w:rPr>
                <w:noProof/>
                <w:webHidden/>
              </w:rPr>
              <w:fldChar w:fldCharType="separate"/>
            </w:r>
            <w:r>
              <w:rPr>
                <w:noProof/>
                <w:webHidden/>
              </w:rPr>
              <w:t>7</w:t>
            </w:r>
            <w:r>
              <w:rPr>
                <w:noProof/>
                <w:webHidden/>
              </w:rPr>
              <w:fldChar w:fldCharType="end"/>
            </w:r>
          </w:hyperlink>
        </w:p>
        <w:p w14:paraId="32309C68"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5" w:history="1">
            <w:r w:rsidRPr="006E60D7">
              <w:rPr>
                <w:rStyle w:val="Hypertextovprepojenie"/>
                <w:noProof/>
              </w:rPr>
              <w:t>2.4</w:t>
            </w:r>
            <w:r>
              <w:rPr>
                <w:rFonts w:asciiTheme="minorHAnsi" w:eastAsiaTheme="minorEastAsia" w:hAnsiTheme="minorHAnsi" w:cstheme="minorBidi"/>
                <w:noProof/>
                <w:szCs w:val="22"/>
                <w:lang w:eastAsia="sk-SK"/>
              </w:rPr>
              <w:tab/>
            </w:r>
            <w:r w:rsidRPr="006E60D7">
              <w:rPr>
                <w:rStyle w:val="Hypertextovprepojenie"/>
                <w:noProof/>
              </w:rPr>
              <w:t>Faktory</w:t>
            </w:r>
            <w:r>
              <w:rPr>
                <w:noProof/>
                <w:webHidden/>
              </w:rPr>
              <w:tab/>
            </w:r>
            <w:r>
              <w:rPr>
                <w:noProof/>
                <w:webHidden/>
              </w:rPr>
              <w:fldChar w:fldCharType="begin"/>
            </w:r>
            <w:r>
              <w:rPr>
                <w:noProof/>
                <w:webHidden/>
              </w:rPr>
              <w:instrText xml:space="preserve"> PAGEREF _Toc422390675 \h </w:instrText>
            </w:r>
            <w:r>
              <w:rPr>
                <w:noProof/>
                <w:webHidden/>
              </w:rPr>
            </w:r>
            <w:r>
              <w:rPr>
                <w:noProof/>
                <w:webHidden/>
              </w:rPr>
              <w:fldChar w:fldCharType="separate"/>
            </w:r>
            <w:r>
              <w:rPr>
                <w:noProof/>
                <w:webHidden/>
              </w:rPr>
              <w:t>9</w:t>
            </w:r>
            <w:r>
              <w:rPr>
                <w:noProof/>
                <w:webHidden/>
              </w:rPr>
              <w:fldChar w:fldCharType="end"/>
            </w:r>
          </w:hyperlink>
        </w:p>
        <w:p w14:paraId="0DED1840"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6" w:history="1">
            <w:r w:rsidRPr="006E60D7">
              <w:rPr>
                <w:rStyle w:val="Hypertextovprepojenie"/>
                <w:noProof/>
              </w:rPr>
              <w:t>2.5</w:t>
            </w:r>
            <w:r>
              <w:rPr>
                <w:rFonts w:asciiTheme="minorHAnsi" w:eastAsiaTheme="minorEastAsia" w:hAnsiTheme="minorHAnsi" w:cstheme="minorBidi"/>
                <w:noProof/>
                <w:szCs w:val="22"/>
                <w:lang w:eastAsia="sk-SK"/>
              </w:rPr>
              <w:tab/>
            </w:r>
            <w:r w:rsidRPr="006E60D7">
              <w:rPr>
                <w:rStyle w:val="Hypertextovprepojenie"/>
                <w:noProof/>
              </w:rPr>
              <w:t>Parametre</w:t>
            </w:r>
            <w:r>
              <w:rPr>
                <w:noProof/>
                <w:webHidden/>
              </w:rPr>
              <w:tab/>
            </w:r>
            <w:r>
              <w:rPr>
                <w:noProof/>
                <w:webHidden/>
              </w:rPr>
              <w:fldChar w:fldCharType="begin"/>
            </w:r>
            <w:r>
              <w:rPr>
                <w:noProof/>
                <w:webHidden/>
              </w:rPr>
              <w:instrText xml:space="preserve"> PAGEREF _Toc422390676 \h </w:instrText>
            </w:r>
            <w:r>
              <w:rPr>
                <w:noProof/>
                <w:webHidden/>
              </w:rPr>
            </w:r>
            <w:r>
              <w:rPr>
                <w:noProof/>
                <w:webHidden/>
              </w:rPr>
              <w:fldChar w:fldCharType="separate"/>
            </w:r>
            <w:r>
              <w:rPr>
                <w:noProof/>
                <w:webHidden/>
              </w:rPr>
              <w:t>10</w:t>
            </w:r>
            <w:r>
              <w:rPr>
                <w:noProof/>
                <w:webHidden/>
              </w:rPr>
              <w:fldChar w:fldCharType="end"/>
            </w:r>
          </w:hyperlink>
        </w:p>
        <w:p w14:paraId="5BC81A40"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7" w:history="1">
            <w:r w:rsidRPr="006E60D7">
              <w:rPr>
                <w:rStyle w:val="Hypertextovprepojenie"/>
                <w:noProof/>
              </w:rPr>
              <w:t>2.6</w:t>
            </w:r>
            <w:r>
              <w:rPr>
                <w:rFonts w:asciiTheme="minorHAnsi" w:eastAsiaTheme="minorEastAsia" w:hAnsiTheme="minorHAnsi" w:cstheme="minorBidi"/>
                <w:noProof/>
                <w:szCs w:val="22"/>
                <w:lang w:eastAsia="sk-SK"/>
              </w:rPr>
              <w:tab/>
            </w:r>
            <w:r w:rsidRPr="006E60D7">
              <w:rPr>
                <w:rStyle w:val="Hypertextovprepojenie"/>
                <w:noProof/>
              </w:rPr>
              <w:t>Výdavky</w:t>
            </w:r>
            <w:r>
              <w:rPr>
                <w:noProof/>
                <w:webHidden/>
              </w:rPr>
              <w:tab/>
            </w:r>
            <w:r>
              <w:rPr>
                <w:noProof/>
                <w:webHidden/>
              </w:rPr>
              <w:fldChar w:fldCharType="begin"/>
            </w:r>
            <w:r>
              <w:rPr>
                <w:noProof/>
                <w:webHidden/>
              </w:rPr>
              <w:instrText xml:space="preserve"> PAGEREF _Toc422390677 \h </w:instrText>
            </w:r>
            <w:r>
              <w:rPr>
                <w:noProof/>
                <w:webHidden/>
              </w:rPr>
            </w:r>
            <w:r>
              <w:rPr>
                <w:noProof/>
                <w:webHidden/>
              </w:rPr>
              <w:fldChar w:fldCharType="separate"/>
            </w:r>
            <w:r>
              <w:rPr>
                <w:noProof/>
                <w:webHidden/>
              </w:rPr>
              <w:t>14</w:t>
            </w:r>
            <w:r>
              <w:rPr>
                <w:noProof/>
                <w:webHidden/>
              </w:rPr>
              <w:fldChar w:fldCharType="end"/>
            </w:r>
          </w:hyperlink>
        </w:p>
        <w:p w14:paraId="26A402A3"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78" w:history="1">
            <w:r w:rsidRPr="006E60D7">
              <w:rPr>
                <w:rStyle w:val="Hypertextovprepojenie"/>
                <w:noProof/>
              </w:rPr>
              <w:t>2.7</w:t>
            </w:r>
            <w:r>
              <w:rPr>
                <w:rFonts w:asciiTheme="minorHAnsi" w:eastAsiaTheme="minorEastAsia" w:hAnsiTheme="minorHAnsi" w:cstheme="minorBidi"/>
                <w:noProof/>
                <w:szCs w:val="22"/>
                <w:lang w:eastAsia="sk-SK"/>
              </w:rPr>
              <w:tab/>
            </w:r>
            <w:r w:rsidRPr="006E60D7">
              <w:rPr>
                <w:rStyle w:val="Hypertextovprepojenie"/>
                <w:noProof/>
              </w:rPr>
              <w:t>Prínosy</w:t>
            </w:r>
            <w:r>
              <w:rPr>
                <w:noProof/>
                <w:webHidden/>
              </w:rPr>
              <w:tab/>
            </w:r>
            <w:r>
              <w:rPr>
                <w:noProof/>
                <w:webHidden/>
              </w:rPr>
              <w:fldChar w:fldCharType="begin"/>
            </w:r>
            <w:r>
              <w:rPr>
                <w:noProof/>
                <w:webHidden/>
              </w:rPr>
              <w:instrText xml:space="preserve"> PAGEREF _Toc422390678 \h </w:instrText>
            </w:r>
            <w:r>
              <w:rPr>
                <w:noProof/>
                <w:webHidden/>
              </w:rPr>
            </w:r>
            <w:r>
              <w:rPr>
                <w:noProof/>
                <w:webHidden/>
              </w:rPr>
              <w:fldChar w:fldCharType="separate"/>
            </w:r>
            <w:r>
              <w:rPr>
                <w:noProof/>
                <w:webHidden/>
              </w:rPr>
              <w:t>19</w:t>
            </w:r>
            <w:r>
              <w:rPr>
                <w:noProof/>
                <w:webHidden/>
              </w:rPr>
              <w:fldChar w:fldCharType="end"/>
            </w:r>
          </w:hyperlink>
        </w:p>
        <w:p w14:paraId="7D05E494" w14:textId="77777777" w:rsidR="0086360F" w:rsidRDefault="0086360F">
          <w:pPr>
            <w:pStyle w:val="Obsah3"/>
            <w:tabs>
              <w:tab w:val="left" w:pos="1100"/>
              <w:tab w:val="right" w:leader="dot" w:pos="9062"/>
            </w:tabs>
            <w:rPr>
              <w:rFonts w:asciiTheme="minorHAnsi" w:eastAsiaTheme="minorEastAsia" w:hAnsiTheme="minorHAnsi" w:cstheme="minorBidi"/>
              <w:noProof/>
              <w:szCs w:val="22"/>
              <w:lang w:eastAsia="sk-SK"/>
            </w:rPr>
          </w:pPr>
          <w:hyperlink w:anchor="_Toc422390679" w:history="1">
            <w:r w:rsidRPr="006E60D7">
              <w:rPr>
                <w:rStyle w:val="Hypertextovprepojenie"/>
                <w:noProof/>
              </w:rPr>
              <w:t>2.7.1</w:t>
            </w:r>
            <w:r>
              <w:rPr>
                <w:rFonts w:asciiTheme="minorHAnsi" w:eastAsiaTheme="minorEastAsia" w:hAnsiTheme="minorHAnsi" w:cstheme="minorBidi"/>
                <w:noProof/>
                <w:szCs w:val="22"/>
                <w:lang w:eastAsia="sk-SK"/>
              </w:rPr>
              <w:tab/>
            </w:r>
            <w:r w:rsidRPr="006E60D7">
              <w:rPr>
                <w:rStyle w:val="Hypertextovprepojenie"/>
                <w:noProof/>
              </w:rPr>
              <w:t>Finančné prínosy</w:t>
            </w:r>
            <w:r>
              <w:rPr>
                <w:noProof/>
                <w:webHidden/>
              </w:rPr>
              <w:tab/>
            </w:r>
            <w:r>
              <w:rPr>
                <w:noProof/>
                <w:webHidden/>
              </w:rPr>
              <w:fldChar w:fldCharType="begin"/>
            </w:r>
            <w:r>
              <w:rPr>
                <w:noProof/>
                <w:webHidden/>
              </w:rPr>
              <w:instrText xml:space="preserve"> PAGEREF _Toc422390679 \h </w:instrText>
            </w:r>
            <w:r>
              <w:rPr>
                <w:noProof/>
                <w:webHidden/>
              </w:rPr>
            </w:r>
            <w:r>
              <w:rPr>
                <w:noProof/>
                <w:webHidden/>
              </w:rPr>
              <w:fldChar w:fldCharType="separate"/>
            </w:r>
            <w:r>
              <w:rPr>
                <w:noProof/>
                <w:webHidden/>
              </w:rPr>
              <w:t>19</w:t>
            </w:r>
            <w:r>
              <w:rPr>
                <w:noProof/>
                <w:webHidden/>
              </w:rPr>
              <w:fldChar w:fldCharType="end"/>
            </w:r>
          </w:hyperlink>
        </w:p>
        <w:p w14:paraId="661EF8E6" w14:textId="77777777" w:rsidR="0086360F" w:rsidRDefault="0086360F">
          <w:pPr>
            <w:pStyle w:val="Obsah3"/>
            <w:tabs>
              <w:tab w:val="left" w:pos="1100"/>
              <w:tab w:val="right" w:leader="dot" w:pos="9062"/>
            </w:tabs>
            <w:rPr>
              <w:rFonts w:asciiTheme="minorHAnsi" w:eastAsiaTheme="minorEastAsia" w:hAnsiTheme="minorHAnsi" w:cstheme="minorBidi"/>
              <w:noProof/>
              <w:szCs w:val="22"/>
              <w:lang w:eastAsia="sk-SK"/>
            </w:rPr>
          </w:pPr>
          <w:hyperlink w:anchor="_Toc422390680" w:history="1">
            <w:r w:rsidRPr="006E60D7">
              <w:rPr>
                <w:rStyle w:val="Hypertextovprepojenie"/>
                <w:noProof/>
              </w:rPr>
              <w:t>2.7.2</w:t>
            </w:r>
            <w:r>
              <w:rPr>
                <w:rFonts w:asciiTheme="minorHAnsi" w:eastAsiaTheme="minorEastAsia" w:hAnsiTheme="minorHAnsi" w:cstheme="minorBidi"/>
                <w:noProof/>
                <w:szCs w:val="22"/>
                <w:lang w:eastAsia="sk-SK"/>
              </w:rPr>
              <w:tab/>
            </w:r>
            <w:r w:rsidRPr="006E60D7">
              <w:rPr>
                <w:rStyle w:val="Hypertextovprepojenie"/>
                <w:noProof/>
              </w:rPr>
              <w:t>Ekonomické prínosy</w:t>
            </w:r>
            <w:r>
              <w:rPr>
                <w:noProof/>
                <w:webHidden/>
              </w:rPr>
              <w:tab/>
            </w:r>
            <w:r>
              <w:rPr>
                <w:noProof/>
                <w:webHidden/>
              </w:rPr>
              <w:fldChar w:fldCharType="begin"/>
            </w:r>
            <w:r>
              <w:rPr>
                <w:noProof/>
                <w:webHidden/>
              </w:rPr>
              <w:instrText xml:space="preserve"> PAGEREF _Toc422390680 \h </w:instrText>
            </w:r>
            <w:r>
              <w:rPr>
                <w:noProof/>
                <w:webHidden/>
              </w:rPr>
            </w:r>
            <w:r>
              <w:rPr>
                <w:noProof/>
                <w:webHidden/>
              </w:rPr>
              <w:fldChar w:fldCharType="separate"/>
            </w:r>
            <w:r>
              <w:rPr>
                <w:noProof/>
                <w:webHidden/>
              </w:rPr>
              <w:t>19</w:t>
            </w:r>
            <w:r>
              <w:rPr>
                <w:noProof/>
                <w:webHidden/>
              </w:rPr>
              <w:fldChar w:fldCharType="end"/>
            </w:r>
          </w:hyperlink>
        </w:p>
        <w:p w14:paraId="4D3F8890" w14:textId="77777777" w:rsidR="0086360F" w:rsidRDefault="0086360F">
          <w:pPr>
            <w:pStyle w:val="Obsah1"/>
            <w:tabs>
              <w:tab w:val="left" w:pos="440"/>
              <w:tab w:val="right" w:leader="dot" w:pos="9062"/>
            </w:tabs>
            <w:rPr>
              <w:rFonts w:asciiTheme="minorHAnsi" w:eastAsiaTheme="minorEastAsia" w:hAnsiTheme="minorHAnsi" w:cstheme="minorBidi"/>
              <w:noProof/>
              <w:szCs w:val="22"/>
              <w:lang w:eastAsia="sk-SK"/>
            </w:rPr>
          </w:pPr>
          <w:hyperlink w:anchor="_Toc422390681" w:history="1">
            <w:r w:rsidRPr="006E60D7">
              <w:rPr>
                <w:rStyle w:val="Hypertextovprepojenie"/>
                <w:noProof/>
              </w:rPr>
              <w:t>3</w:t>
            </w:r>
            <w:r>
              <w:rPr>
                <w:rFonts w:asciiTheme="minorHAnsi" w:eastAsiaTheme="minorEastAsia" w:hAnsiTheme="minorHAnsi" w:cstheme="minorBidi"/>
                <w:noProof/>
                <w:szCs w:val="22"/>
                <w:lang w:eastAsia="sk-SK"/>
              </w:rPr>
              <w:tab/>
            </w:r>
            <w:r w:rsidRPr="006E60D7">
              <w:rPr>
                <w:rStyle w:val="Hypertextovprepojenie"/>
                <w:noProof/>
              </w:rPr>
              <w:t>Metodický pokyn k vypracovaniu TCO</w:t>
            </w:r>
            <w:r>
              <w:rPr>
                <w:noProof/>
                <w:webHidden/>
              </w:rPr>
              <w:tab/>
            </w:r>
            <w:r>
              <w:rPr>
                <w:noProof/>
                <w:webHidden/>
              </w:rPr>
              <w:fldChar w:fldCharType="begin"/>
            </w:r>
            <w:r>
              <w:rPr>
                <w:noProof/>
                <w:webHidden/>
              </w:rPr>
              <w:instrText xml:space="preserve"> PAGEREF _Toc422390681 \h </w:instrText>
            </w:r>
            <w:r>
              <w:rPr>
                <w:noProof/>
                <w:webHidden/>
              </w:rPr>
            </w:r>
            <w:r>
              <w:rPr>
                <w:noProof/>
                <w:webHidden/>
              </w:rPr>
              <w:fldChar w:fldCharType="separate"/>
            </w:r>
            <w:r>
              <w:rPr>
                <w:noProof/>
                <w:webHidden/>
              </w:rPr>
              <w:t>22</w:t>
            </w:r>
            <w:r>
              <w:rPr>
                <w:noProof/>
                <w:webHidden/>
              </w:rPr>
              <w:fldChar w:fldCharType="end"/>
            </w:r>
          </w:hyperlink>
        </w:p>
        <w:p w14:paraId="1966E391"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2" w:history="1">
            <w:r w:rsidRPr="006E60D7">
              <w:rPr>
                <w:rStyle w:val="Hypertextovprepojenie"/>
                <w:noProof/>
              </w:rPr>
              <w:t>3.1</w:t>
            </w:r>
            <w:r>
              <w:rPr>
                <w:rFonts w:asciiTheme="minorHAnsi" w:eastAsiaTheme="minorEastAsia" w:hAnsiTheme="minorHAnsi" w:cstheme="minorBidi"/>
                <w:noProof/>
                <w:szCs w:val="22"/>
                <w:lang w:eastAsia="sk-SK"/>
              </w:rPr>
              <w:tab/>
            </w:r>
            <w:r w:rsidRPr="006E60D7">
              <w:rPr>
                <w:rStyle w:val="Hypertextovprepojenie"/>
                <w:noProof/>
              </w:rPr>
              <w:t>Definície pojmov</w:t>
            </w:r>
            <w:r>
              <w:rPr>
                <w:noProof/>
                <w:webHidden/>
              </w:rPr>
              <w:tab/>
            </w:r>
            <w:r>
              <w:rPr>
                <w:noProof/>
                <w:webHidden/>
              </w:rPr>
              <w:fldChar w:fldCharType="begin"/>
            </w:r>
            <w:r>
              <w:rPr>
                <w:noProof/>
                <w:webHidden/>
              </w:rPr>
              <w:instrText xml:space="preserve"> PAGEREF _Toc422390682 \h </w:instrText>
            </w:r>
            <w:r>
              <w:rPr>
                <w:noProof/>
                <w:webHidden/>
              </w:rPr>
            </w:r>
            <w:r>
              <w:rPr>
                <w:noProof/>
                <w:webHidden/>
              </w:rPr>
              <w:fldChar w:fldCharType="separate"/>
            </w:r>
            <w:r>
              <w:rPr>
                <w:noProof/>
                <w:webHidden/>
              </w:rPr>
              <w:t>22</w:t>
            </w:r>
            <w:r>
              <w:rPr>
                <w:noProof/>
                <w:webHidden/>
              </w:rPr>
              <w:fldChar w:fldCharType="end"/>
            </w:r>
          </w:hyperlink>
        </w:p>
        <w:p w14:paraId="1B34F0B1"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3" w:history="1">
            <w:r w:rsidRPr="006E60D7">
              <w:rPr>
                <w:rStyle w:val="Hypertextovprepojenie"/>
                <w:noProof/>
              </w:rPr>
              <w:t>3.2</w:t>
            </w:r>
            <w:r>
              <w:rPr>
                <w:rFonts w:asciiTheme="minorHAnsi" w:eastAsiaTheme="minorEastAsia" w:hAnsiTheme="minorHAnsi" w:cstheme="minorBidi"/>
                <w:noProof/>
                <w:szCs w:val="22"/>
                <w:lang w:eastAsia="sk-SK"/>
              </w:rPr>
              <w:tab/>
            </w:r>
            <w:r w:rsidRPr="006E60D7">
              <w:rPr>
                <w:rStyle w:val="Hypertextovprepojenie"/>
                <w:noProof/>
              </w:rPr>
              <w:t>Analýza celkových nákladov na vlastníctvo</w:t>
            </w:r>
            <w:r>
              <w:rPr>
                <w:noProof/>
                <w:webHidden/>
              </w:rPr>
              <w:tab/>
            </w:r>
            <w:r>
              <w:rPr>
                <w:noProof/>
                <w:webHidden/>
              </w:rPr>
              <w:fldChar w:fldCharType="begin"/>
            </w:r>
            <w:r>
              <w:rPr>
                <w:noProof/>
                <w:webHidden/>
              </w:rPr>
              <w:instrText xml:space="preserve"> PAGEREF _Toc422390683 \h </w:instrText>
            </w:r>
            <w:r>
              <w:rPr>
                <w:noProof/>
                <w:webHidden/>
              </w:rPr>
            </w:r>
            <w:r>
              <w:rPr>
                <w:noProof/>
                <w:webHidden/>
              </w:rPr>
              <w:fldChar w:fldCharType="separate"/>
            </w:r>
            <w:r>
              <w:rPr>
                <w:noProof/>
                <w:webHidden/>
              </w:rPr>
              <w:t>22</w:t>
            </w:r>
            <w:r>
              <w:rPr>
                <w:noProof/>
                <w:webHidden/>
              </w:rPr>
              <w:fldChar w:fldCharType="end"/>
            </w:r>
          </w:hyperlink>
        </w:p>
        <w:p w14:paraId="590286EC"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4" w:history="1">
            <w:r w:rsidRPr="006E60D7">
              <w:rPr>
                <w:rStyle w:val="Hypertextovprepojenie"/>
                <w:noProof/>
              </w:rPr>
              <w:t>3.3</w:t>
            </w:r>
            <w:r>
              <w:rPr>
                <w:rFonts w:asciiTheme="minorHAnsi" w:eastAsiaTheme="minorEastAsia" w:hAnsiTheme="minorHAnsi" w:cstheme="minorBidi"/>
                <w:noProof/>
                <w:szCs w:val="22"/>
                <w:lang w:eastAsia="sk-SK"/>
              </w:rPr>
              <w:tab/>
            </w:r>
            <w:r w:rsidRPr="006E60D7">
              <w:rPr>
                <w:rStyle w:val="Hypertextovprepojenie"/>
                <w:noProof/>
              </w:rPr>
              <w:t>Postup analýzy</w:t>
            </w:r>
            <w:r>
              <w:rPr>
                <w:noProof/>
                <w:webHidden/>
              </w:rPr>
              <w:tab/>
            </w:r>
            <w:r>
              <w:rPr>
                <w:noProof/>
                <w:webHidden/>
              </w:rPr>
              <w:fldChar w:fldCharType="begin"/>
            </w:r>
            <w:r>
              <w:rPr>
                <w:noProof/>
                <w:webHidden/>
              </w:rPr>
              <w:instrText xml:space="preserve"> PAGEREF _Toc422390684 \h </w:instrText>
            </w:r>
            <w:r>
              <w:rPr>
                <w:noProof/>
                <w:webHidden/>
              </w:rPr>
            </w:r>
            <w:r>
              <w:rPr>
                <w:noProof/>
                <w:webHidden/>
              </w:rPr>
              <w:fldChar w:fldCharType="separate"/>
            </w:r>
            <w:r>
              <w:rPr>
                <w:noProof/>
                <w:webHidden/>
              </w:rPr>
              <w:t>23</w:t>
            </w:r>
            <w:r>
              <w:rPr>
                <w:noProof/>
                <w:webHidden/>
              </w:rPr>
              <w:fldChar w:fldCharType="end"/>
            </w:r>
          </w:hyperlink>
        </w:p>
        <w:p w14:paraId="50FEF6A8"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5" w:history="1">
            <w:r w:rsidRPr="006E60D7">
              <w:rPr>
                <w:rStyle w:val="Hypertextovprepojenie"/>
                <w:noProof/>
              </w:rPr>
              <w:t>3.4</w:t>
            </w:r>
            <w:r>
              <w:rPr>
                <w:rFonts w:asciiTheme="minorHAnsi" w:eastAsiaTheme="minorEastAsia" w:hAnsiTheme="minorHAnsi" w:cstheme="minorBidi"/>
                <w:noProof/>
                <w:szCs w:val="22"/>
                <w:lang w:eastAsia="sk-SK"/>
              </w:rPr>
              <w:tab/>
            </w:r>
            <w:r w:rsidRPr="006E60D7">
              <w:rPr>
                <w:rStyle w:val="Hypertextovprepojenie"/>
                <w:noProof/>
              </w:rPr>
              <w:t>Náklady na obstaranie a prevádzku SW</w:t>
            </w:r>
            <w:r>
              <w:rPr>
                <w:noProof/>
                <w:webHidden/>
              </w:rPr>
              <w:tab/>
            </w:r>
            <w:r>
              <w:rPr>
                <w:noProof/>
                <w:webHidden/>
              </w:rPr>
              <w:fldChar w:fldCharType="begin"/>
            </w:r>
            <w:r>
              <w:rPr>
                <w:noProof/>
                <w:webHidden/>
              </w:rPr>
              <w:instrText xml:space="preserve"> PAGEREF _Toc422390685 \h </w:instrText>
            </w:r>
            <w:r>
              <w:rPr>
                <w:noProof/>
                <w:webHidden/>
              </w:rPr>
            </w:r>
            <w:r>
              <w:rPr>
                <w:noProof/>
                <w:webHidden/>
              </w:rPr>
              <w:fldChar w:fldCharType="separate"/>
            </w:r>
            <w:r>
              <w:rPr>
                <w:noProof/>
                <w:webHidden/>
              </w:rPr>
              <w:t>23</w:t>
            </w:r>
            <w:r>
              <w:rPr>
                <w:noProof/>
                <w:webHidden/>
              </w:rPr>
              <w:fldChar w:fldCharType="end"/>
            </w:r>
          </w:hyperlink>
        </w:p>
        <w:p w14:paraId="60496C96"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6" w:history="1">
            <w:r w:rsidRPr="006E60D7">
              <w:rPr>
                <w:rStyle w:val="Hypertextovprepojenie"/>
                <w:noProof/>
              </w:rPr>
              <w:t>3.5</w:t>
            </w:r>
            <w:r>
              <w:rPr>
                <w:rFonts w:asciiTheme="minorHAnsi" w:eastAsiaTheme="minorEastAsia" w:hAnsiTheme="minorHAnsi" w:cstheme="minorBidi"/>
                <w:noProof/>
                <w:szCs w:val="22"/>
                <w:lang w:eastAsia="sk-SK"/>
              </w:rPr>
              <w:tab/>
            </w:r>
            <w:r w:rsidRPr="006E60D7">
              <w:rPr>
                <w:rStyle w:val="Hypertextovprepojenie"/>
                <w:noProof/>
              </w:rPr>
              <w:t>Náklady na obstaranie a prevádzku HW položky</w:t>
            </w:r>
            <w:r>
              <w:rPr>
                <w:noProof/>
                <w:webHidden/>
              </w:rPr>
              <w:tab/>
            </w:r>
            <w:r>
              <w:rPr>
                <w:noProof/>
                <w:webHidden/>
              </w:rPr>
              <w:fldChar w:fldCharType="begin"/>
            </w:r>
            <w:r>
              <w:rPr>
                <w:noProof/>
                <w:webHidden/>
              </w:rPr>
              <w:instrText xml:space="preserve"> PAGEREF _Toc422390686 \h </w:instrText>
            </w:r>
            <w:r>
              <w:rPr>
                <w:noProof/>
                <w:webHidden/>
              </w:rPr>
            </w:r>
            <w:r>
              <w:rPr>
                <w:noProof/>
                <w:webHidden/>
              </w:rPr>
              <w:fldChar w:fldCharType="separate"/>
            </w:r>
            <w:r>
              <w:rPr>
                <w:noProof/>
                <w:webHidden/>
              </w:rPr>
              <w:t>24</w:t>
            </w:r>
            <w:r>
              <w:rPr>
                <w:noProof/>
                <w:webHidden/>
              </w:rPr>
              <w:fldChar w:fldCharType="end"/>
            </w:r>
          </w:hyperlink>
        </w:p>
        <w:p w14:paraId="7BD7A35C"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7" w:history="1">
            <w:r w:rsidRPr="006E60D7">
              <w:rPr>
                <w:rStyle w:val="Hypertextovprepojenie"/>
                <w:noProof/>
              </w:rPr>
              <w:t>3.6</w:t>
            </w:r>
            <w:r>
              <w:rPr>
                <w:rFonts w:asciiTheme="minorHAnsi" w:eastAsiaTheme="minorEastAsia" w:hAnsiTheme="minorHAnsi" w:cstheme="minorBidi"/>
                <w:noProof/>
                <w:szCs w:val="22"/>
                <w:lang w:eastAsia="sk-SK"/>
              </w:rPr>
              <w:tab/>
            </w:r>
            <w:r w:rsidRPr="006E60D7">
              <w:rPr>
                <w:rStyle w:val="Hypertextovprepojenie"/>
                <w:noProof/>
              </w:rPr>
              <w:t>Náklady na existujúce (pôvodné) riešenie, ktoré bolo nahradené</w:t>
            </w:r>
            <w:r>
              <w:rPr>
                <w:noProof/>
                <w:webHidden/>
              </w:rPr>
              <w:tab/>
            </w:r>
            <w:r>
              <w:rPr>
                <w:noProof/>
                <w:webHidden/>
              </w:rPr>
              <w:fldChar w:fldCharType="begin"/>
            </w:r>
            <w:r>
              <w:rPr>
                <w:noProof/>
                <w:webHidden/>
              </w:rPr>
              <w:instrText xml:space="preserve"> PAGEREF _Toc422390687 \h </w:instrText>
            </w:r>
            <w:r>
              <w:rPr>
                <w:noProof/>
                <w:webHidden/>
              </w:rPr>
            </w:r>
            <w:r>
              <w:rPr>
                <w:noProof/>
                <w:webHidden/>
              </w:rPr>
              <w:fldChar w:fldCharType="separate"/>
            </w:r>
            <w:r>
              <w:rPr>
                <w:noProof/>
                <w:webHidden/>
              </w:rPr>
              <w:t>24</w:t>
            </w:r>
            <w:r>
              <w:rPr>
                <w:noProof/>
                <w:webHidden/>
              </w:rPr>
              <w:fldChar w:fldCharType="end"/>
            </w:r>
          </w:hyperlink>
        </w:p>
        <w:p w14:paraId="1AA2FDB4" w14:textId="77777777" w:rsidR="0086360F" w:rsidRDefault="0086360F">
          <w:pPr>
            <w:pStyle w:val="Obsah2"/>
            <w:tabs>
              <w:tab w:val="left" w:pos="880"/>
              <w:tab w:val="right" w:leader="dot" w:pos="9062"/>
            </w:tabs>
            <w:rPr>
              <w:rFonts w:asciiTheme="minorHAnsi" w:eastAsiaTheme="minorEastAsia" w:hAnsiTheme="minorHAnsi" w:cstheme="minorBidi"/>
              <w:noProof/>
              <w:szCs w:val="22"/>
              <w:lang w:eastAsia="sk-SK"/>
            </w:rPr>
          </w:pPr>
          <w:hyperlink w:anchor="_Toc422390688" w:history="1">
            <w:r w:rsidRPr="006E60D7">
              <w:rPr>
                <w:rStyle w:val="Hypertextovprepojenie"/>
                <w:noProof/>
              </w:rPr>
              <w:t>3.7</w:t>
            </w:r>
            <w:r>
              <w:rPr>
                <w:rFonts w:asciiTheme="minorHAnsi" w:eastAsiaTheme="minorEastAsia" w:hAnsiTheme="minorHAnsi" w:cstheme="minorBidi"/>
                <w:noProof/>
                <w:szCs w:val="22"/>
                <w:lang w:eastAsia="sk-SK"/>
              </w:rPr>
              <w:tab/>
            </w:r>
            <w:r w:rsidRPr="006E60D7">
              <w:rPr>
                <w:rStyle w:val="Hypertextovprepojenie"/>
                <w:noProof/>
              </w:rPr>
              <w:t>Celkové náklady na vlastníctvo (TCO)</w:t>
            </w:r>
            <w:r>
              <w:rPr>
                <w:noProof/>
                <w:webHidden/>
              </w:rPr>
              <w:tab/>
            </w:r>
            <w:r>
              <w:rPr>
                <w:noProof/>
                <w:webHidden/>
              </w:rPr>
              <w:fldChar w:fldCharType="begin"/>
            </w:r>
            <w:r>
              <w:rPr>
                <w:noProof/>
                <w:webHidden/>
              </w:rPr>
              <w:instrText xml:space="preserve"> PAGEREF _Toc422390688 \h </w:instrText>
            </w:r>
            <w:r>
              <w:rPr>
                <w:noProof/>
                <w:webHidden/>
              </w:rPr>
            </w:r>
            <w:r>
              <w:rPr>
                <w:noProof/>
                <w:webHidden/>
              </w:rPr>
              <w:fldChar w:fldCharType="separate"/>
            </w:r>
            <w:r>
              <w:rPr>
                <w:noProof/>
                <w:webHidden/>
              </w:rPr>
              <w:t>24</w:t>
            </w:r>
            <w:r>
              <w:rPr>
                <w:noProof/>
                <w:webHidden/>
              </w:rPr>
              <w:fldChar w:fldCharType="end"/>
            </w:r>
          </w:hyperlink>
        </w:p>
        <w:p w14:paraId="79EBB0D6" w14:textId="77777777" w:rsidR="0086360F" w:rsidRDefault="0086360F">
          <w:pPr>
            <w:pStyle w:val="Obsah1"/>
            <w:tabs>
              <w:tab w:val="left" w:pos="440"/>
              <w:tab w:val="right" w:leader="dot" w:pos="9062"/>
            </w:tabs>
            <w:rPr>
              <w:rFonts w:asciiTheme="minorHAnsi" w:eastAsiaTheme="minorEastAsia" w:hAnsiTheme="minorHAnsi" w:cstheme="minorBidi"/>
              <w:noProof/>
              <w:szCs w:val="22"/>
              <w:lang w:eastAsia="sk-SK"/>
            </w:rPr>
          </w:pPr>
          <w:hyperlink w:anchor="_Toc422390689" w:history="1">
            <w:r w:rsidRPr="006E60D7">
              <w:rPr>
                <w:rStyle w:val="Hypertextovprepojenie"/>
                <w:noProof/>
              </w:rPr>
              <w:t>4</w:t>
            </w:r>
            <w:r>
              <w:rPr>
                <w:rFonts w:asciiTheme="minorHAnsi" w:eastAsiaTheme="minorEastAsia" w:hAnsiTheme="minorHAnsi" w:cstheme="minorBidi"/>
                <w:noProof/>
                <w:szCs w:val="22"/>
                <w:lang w:eastAsia="sk-SK"/>
              </w:rPr>
              <w:tab/>
            </w:r>
            <w:r w:rsidRPr="006E60D7">
              <w:rPr>
                <w:rStyle w:val="Hypertextovprepojenie"/>
                <w:noProof/>
              </w:rPr>
              <w:t>Prílohy</w:t>
            </w:r>
            <w:r>
              <w:rPr>
                <w:noProof/>
                <w:webHidden/>
              </w:rPr>
              <w:tab/>
            </w:r>
            <w:r>
              <w:rPr>
                <w:noProof/>
                <w:webHidden/>
              </w:rPr>
              <w:fldChar w:fldCharType="begin"/>
            </w:r>
            <w:r>
              <w:rPr>
                <w:noProof/>
                <w:webHidden/>
              </w:rPr>
              <w:instrText xml:space="preserve"> PAGEREF _Toc422390689 \h </w:instrText>
            </w:r>
            <w:r>
              <w:rPr>
                <w:noProof/>
                <w:webHidden/>
              </w:rPr>
            </w:r>
            <w:r>
              <w:rPr>
                <w:noProof/>
                <w:webHidden/>
              </w:rPr>
              <w:fldChar w:fldCharType="separate"/>
            </w:r>
            <w:r>
              <w:rPr>
                <w:noProof/>
                <w:webHidden/>
              </w:rPr>
              <w:t>25</w:t>
            </w:r>
            <w:r>
              <w:rPr>
                <w:noProof/>
                <w:webHidden/>
              </w:rPr>
              <w:fldChar w:fldCharType="end"/>
            </w:r>
          </w:hyperlink>
        </w:p>
        <w:p w14:paraId="12EC0850" w14:textId="77777777" w:rsidR="00941683" w:rsidRDefault="00941683" w:rsidP="00941683">
          <w:pPr>
            <w:rPr>
              <w:b/>
              <w:bCs/>
              <w:noProof/>
            </w:rPr>
          </w:pPr>
          <w:r w:rsidRPr="005E0A01">
            <w:rPr>
              <w:sz w:val="28"/>
              <w:szCs w:val="20"/>
            </w:rPr>
            <w:fldChar w:fldCharType="end"/>
          </w:r>
        </w:p>
      </w:sdtContent>
    </w:sdt>
    <w:p w14:paraId="310F47D8" w14:textId="77777777" w:rsidR="00941683" w:rsidRPr="005E0A01" w:rsidRDefault="00941683" w:rsidP="00941683">
      <w:pPr>
        <w:rPr>
          <w:rFonts w:eastAsiaTheme="majorEastAsia" w:cstheme="majorBidi"/>
          <w:color w:val="2E74B5" w:themeColor="accent1" w:themeShade="BF"/>
          <w:sz w:val="32"/>
          <w:szCs w:val="32"/>
        </w:rPr>
      </w:pPr>
      <w:r w:rsidRPr="005E0A01">
        <w:rPr>
          <w:rFonts w:eastAsiaTheme="majorEastAsia" w:cstheme="majorBidi"/>
          <w:color w:val="2E74B5" w:themeColor="accent1" w:themeShade="BF"/>
          <w:sz w:val="32"/>
          <w:szCs w:val="32"/>
        </w:rPr>
        <w:t>Zoznam tabuliek</w:t>
      </w:r>
    </w:p>
    <w:p w14:paraId="5D9CAEDC" w14:textId="77777777" w:rsidR="0086360F" w:rsidRDefault="004F1162"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r>
        <w:fldChar w:fldCharType="begin"/>
      </w:r>
      <w:r>
        <w:instrText xml:space="preserve"> TOC \h \z \c "Tabuľka" </w:instrText>
      </w:r>
      <w:r>
        <w:fldChar w:fldCharType="separate"/>
      </w:r>
      <w:hyperlink w:anchor="_Toc422390690" w:history="1">
        <w:r w:rsidR="0086360F" w:rsidRPr="002C1C71">
          <w:rPr>
            <w:rStyle w:val="Hypertextovprepojenie"/>
            <w:rFonts w:eastAsiaTheme="majorEastAsia"/>
            <w:noProof/>
          </w:rPr>
          <w:t>Tabuľka 1 Parametre</w:t>
        </w:r>
        <w:r w:rsidR="0086360F">
          <w:rPr>
            <w:noProof/>
            <w:webHidden/>
          </w:rPr>
          <w:tab/>
        </w:r>
        <w:r w:rsidR="0086360F">
          <w:rPr>
            <w:noProof/>
            <w:webHidden/>
          </w:rPr>
          <w:fldChar w:fldCharType="begin"/>
        </w:r>
        <w:r w:rsidR="0086360F">
          <w:rPr>
            <w:noProof/>
            <w:webHidden/>
          </w:rPr>
          <w:instrText xml:space="preserve"> PAGEREF _Toc422390690 \h </w:instrText>
        </w:r>
        <w:r w:rsidR="0086360F">
          <w:rPr>
            <w:noProof/>
            <w:webHidden/>
          </w:rPr>
        </w:r>
        <w:r w:rsidR="0086360F">
          <w:rPr>
            <w:noProof/>
            <w:webHidden/>
          </w:rPr>
          <w:fldChar w:fldCharType="separate"/>
        </w:r>
        <w:r w:rsidR="0086360F">
          <w:rPr>
            <w:noProof/>
            <w:webHidden/>
          </w:rPr>
          <w:t>10</w:t>
        </w:r>
        <w:r w:rsidR="0086360F">
          <w:rPr>
            <w:noProof/>
            <w:webHidden/>
          </w:rPr>
          <w:fldChar w:fldCharType="end"/>
        </w:r>
      </w:hyperlink>
    </w:p>
    <w:p w14:paraId="5EED13D3" w14:textId="77777777" w:rsidR="0086360F" w:rsidRDefault="0086360F"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hyperlink w:anchor="_Toc422390691" w:history="1">
        <w:r w:rsidRPr="002C1C71">
          <w:rPr>
            <w:rStyle w:val="Hypertextovprepojenie"/>
            <w:rFonts w:eastAsiaTheme="majorEastAsia"/>
            <w:noProof/>
          </w:rPr>
          <w:t>Tabuľka 2 Náklady</w:t>
        </w:r>
        <w:r>
          <w:rPr>
            <w:noProof/>
            <w:webHidden/>
          </w:rPr>
          <w:tab/>
        </w:r>
        <w:r>
          <w:rPr>
            <w:noProof/>
            <w:webHidden/>
          </w:rPr>
          <w:fldChar w:fldCharType="begin"/>
        </w:r>
        <w:r>
          <w:rPr>
            <w:noProof/>
            <w:webHidden/>
          </w:rPr>
          <w:instrText xml:space="preserve"> PAGEREF _Toc422390691 \h </w:instrText>
        </w:r>
        <w:r>
          <w:rPr>
            <w:noProof/>
            <w:webHidden/>
          </w:rPr>
        </w:r>
        <w:r>
          <w:rPr>
            <w:noProof/>
            <w:webHidden/>
          </w:rPr>
          <w:fldChar w:fldCharType="separate"/>
        </w:r>
        <w:r>
          <w:rPr>
            <w:noProof/>
            <w:webHidden/>
          </w:rPr>
          <w:t>15</w:t>
        </w:r>
        <w:r>
          <w:rPr>
            <w:noProof/>
            <w:webHidden/>
          </w:rPr>
          <w:fldChar w:fldCharType="end"/>
        </w:r>
      </w:hyperlink>
    </w:p>
    <w:p w14:paraId="481E60B1" w14:textId="77777777" w:rsidR="0086360F" w:rsidRDefault="0086360F"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hyperlink w:anchor="_Toc422390692" w:history="1">
        <w:r w:rsidRPr="002C1C71">
          <w:rPr>
            <w:rStyle w:val="Hypertextovprepojenie"/>
            <w:rFonts w:eastAsiaTheme="majorEastAsia"/>
            <w:noProof/>
          </w:rPr>
          <w:t>Tabuľka 3 Prínosy</w:t>
        </w:r>
        <w:r>
          <w:rPr>
            <w:noProof/>
            <w:webHidden/>
          </w:rPr>
          <w:tab/>
        </w:r>
        <w:r>
          <w:rPr>
            <w:noProof/>
            <w:webHidden/>
          </w:rPr>
          <w:fldChar w:fldCharType="begin"/>
        </w:r>
        <w:r>
          <w:rPr>
            <w:noProof/>
            <w:webHidden/>
          </w:rPr>
          <w:instrText xml:space="preserve"> PAGEREF _Toc422390692 \h </w:instrText>
        </w:r>
        <w:r>
          <w:rPr>
            <w:noProof/>
            <w:webHidden/>
          </w:rPr>
        </w:r>
        <w:r>
          <w:rPr>
            <w:noProof/>
            <w:webHidden/>
          </w:rPr>
          <w:fldChar w:fldCharType="separate"/>
        </w:r>
        <w:r>
          <w:rPr>
            <w:noProof/>
            <w:webHidden/>
          </w:rPr>
          <w:t>20</w:t>
        </w:r>
        <w:r>
          <w:rPr>
            <w:noProof/>
            <w:webHidden/>
          </w:rPr>
          <w:fldChar w:fldCharType="end"/>
        </w:r>
      </w:hyperlink>
    </w:p>
    <w:p w14:paraId="093F0B9C" w14:textId="77777777" w:rsidR="00941683" w:rsidRDefault="004F1162" w:rsidP="0086360F">
      <w:pPr>
        <w:spacing w:line="360" w:lineRule="auto"/>
      </w:pPr>
      <w:r>
        <w:rPr>
          <w:b/>
          <w:bCs/>
          <w:noProof/>
          <w:lang w:val="en-US"/>
        </w:rPr>
        <w:fldChar w:fldCharType="end"/>
      </w:r>
    </w:p>
    <w:p w14:paraId="5628DA70" w14:textId="77777777" w:rsidR="00941683" w:rsidRDefault="00941683" w:rsidP="00941683">
      <w:pPr>
        <w:pStyle w:val="Nzov"/>
        <w:sectPr w:rsidR="00941683" w:rsidSect="00FF70E6">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74D14EA2" w14:textId="3BB94D42" w:rsidR="009F5971" w:rsidRDefault="005036BC" w:rsidP="005036BC">
      <w:pPr>
        <w:pStyle w:val="Nadpis1"/>
      </w:pPr>
      <w:bookmarkStart w:id="3" w:name="_Toc422390668"/>
      <w:bookmarkEnd w:id="0"/>
      <w:bookmarkEnd w:id="1"/>
      <w:bookmarkEnd w:id="2"/>
      <w:r>
        <w:t>Účel dokumentu</w:t>
      </w:r>
      <w:bookmarkEnd w:id="3"/>
    </w:p>
    <w:p w14:paraId="074BB837" w14:textId="41708DC0" w:rsidR="00BE0867" w:rsidRPr="00BE0867" w:rsidRDefault="00F200D0" w:rsidP="00BE0867">
      <w:r w:rsidRPr="00F200D0">
        <w:t>Tento metodický pokyn formuluje odporúčania pre prípravu a hodnotenie základných parametrov a postupov finančnej analýzy projektu a analýzy nákladov a prínosov projektu (ďalej aj CBA). Metodický pokyn zároveň popisuje možný spôsob zhodnotenia finančnej stability žiadateľa o NFP.</w:t>
      </w:r>
    </w:p>
    <w:p w14:paraId="362D64AD" w14:textId="1C6CAB4A" w:rsidR="00BE0867" w:rsidRDefault="00F200D0" w:rsidP="00BE0867">
      <w:r>
        <w:t xml:space="preserve">Dokument </w:t>
      </w:r>
      <w:r w:rsidR="00BE0867" w:rsidRPr="00BE0867">
        <w:t>vychádza z metodického pokynu CKO  „Metodický pokyn</w:t>
      </w:r>
      <w:r w:rsidR="00BE0867">
        <w:t xml:space="preserve"> CKO</w:t>
      </w:r>
      <w:r w:rsidR="00BE0867" w:rsidRPr="00BE0867">
        <w:t xml:space="preserve"> k vypracovaniu finančnej analýzy projektu, analýzy nákladov a prínosov projektu a finančnej analýzy žiadateľa o NFP v programovom období 2014 - 2020“.  </w:t>
      </w:r>
    </w:p>
    <w:p w14:paraId="734A0F25" w14:textId="77777777" w:rsidR="00F200D0" w:rsidRDefault="00F200D0" w:rsidP="00F200D0">
      <w:r>
        <w:t>Účelom finančnej analýzy je odôvodnenie nutnosti nenávratného finančného príspevku pre  realizáciu projektu a ubezpečenie poskytovateľa, že projekt po ukončení financovania z prostriedkov nenávratného finančného príspevku bude finančne udržateľný a samonosný. Na tomto základe by mala byť stanovená primeraná úroveň pomoci.</w:t>
      </w:r>
    </w:p>
    <w:p w14:paraId="72921C98" w14:textId="14669592" w:rsidR="00F200D0" w:rsidRDefault="00F200D0" w:rsidP="00F200D0">
      <w:r>
        <w:t>Cieľom finančnej analýzy je stanoviť ziskovosť projektu s ohľadom na oprávnenosť použitia nenávratného finančného príspevku určeného ziskovosťou projektu na základe posúdenia čistej súčasnej hodnoty investície, ktorá je bez zohľadnenia zdrojov financovania a teda aj NFP záporná a po zohľadnení zdrojov financovania (teda aj NFP), pričom NFP má byť poskytnutý v takej miere, aby sa znížili investičné náklady na úroveň, keď čistá súčasná hodnota investície za dané obdobie a pri stanovenej diskontnej sadzbe bude rovná 0.</w:t>
      </w:r>
    </w:p>
    <w:p w14:paraId="0969F836" w14:textId="77777777" w:rsidR="00BE0867" w:rsidRDefault="00BE0867" w:rsidP="00BE0867">
      <w:r>
        <w:t>Účelom CBA je preukázať, že projekt je z hospodárskeho hľadiska vhodný a prispieva k cieľom regionálnej politiky EÚ a SR na základe porovnania speňažených ale aj nespeňažených hmotných a nehmotných príspevkov a nákladov.</w:t>
      </w:r>
    </w:p>
    <w:p w14:paraId="067C22DC" w14:textId="32284914" w:rsidR="00BE0867" w:rsidRPr="00BE0867" w:rsidRDefault="00BE0867" w:rsidP="00BE0867">
      <w:r>
        <w:t>Cieľom CBA je preukázať pri štrukturálne významných investíciách, že ekonomická čistá súčasná hodnota za dané obdobie a pri stanovenej sociálnej diskontnej sadzbe je kladná. V prípade zápornej ekonomickej čistej súčasnej hodnoty investície navrhovaný projekt nemá byť podporený z verejných prostriedkov. Pod štrukturálne významnými projektmi sú myslené projekty, ktoré v danom sektore či regióne môžu merateľné ovplyvniť jeho ďalší stav.</w:t>
      </w:r>
    </w:p>
    <w:p w14:paraId="75AAAA42" w14:textId="77777777" w:rsidR="00BE0867" w:rsidRPr="00BE0867" w:rsidRDefault="00BE0867" w:rsidP="00BE0867">
      <w:pPr>
        <w:pStyle w:val="MPCKO2"/>
        <w:rPr>
          <w:rFonts w:ascii="Arial Narrow" w:hAnsi="Arial Narrow"/>
        </w:rPr>
      </w:pPr>
      <w:bookmarkStart w:id="4" w:name="_Toc406160857"/>
      <w:bookmarkStart w:id="5" w:name="_Toc406160947"/>
      <w:bookmarkStart w:id="6" w:name="_Toc406427666"/>
      <w:bookmarkStart w:id="7" w:name="_Toc422390669"/>
      <w:r w:rsidRPr="00BE0867">
        <w:rPr>
          <w:rFonts w:ascii="Arial Narrow" w:hAnsi="Arial Narrow"/>
        </w:rPr>
        <w:t>1.2 Podstatné zmeny oproti programovému obdobiu 2007 – 2013</w:t>
      </w:r>
      <w:bookmarkEnd w:id="4"/>
      <w:bookmarkEnd w:id="5"/>
      <w:bookmarkEnd w:id="6"/>
      <w:bookmarkEnd w:id="7"/>
    </w:p>
    <w:p w14:paraId="0DCFC64A" w14:textId="77777777" w:rsidR="00BE0867" w:rsidRPr="00BE0867" w:rsidRDefault="00BE0867" w:rsidP="00BE0867">
      <w:r w:rsidRPr="00BE0867">
        <w:t>Podstatnými zmenami oproti programovému obdobiu 2007 – 2013 sú predovšetkým:</w:t>
      </w:r>
    </w:p>
    <w:p w14:paraId="2D62B6D8" w14:textId="77777777" w:rsidR="00FA6E4E" w:rsidRPr="00BE0867" w:rsidRDefault="00FA6E4E" w:rsidP="00FA6E4E">
      <w:pPr>
        <w:numPr>
          <w:ilvl w:val="0"/>
          <w:numId w:val="2"/>
        </w:numPr>
        <w:spacing w:after="0" w:line="240" w:lineRule="auto"/>
      </w:pPr>
      <w:r>
        <w:t>Parametre, výdavky a prínosy sú štruktúrované podľa typu projektu OPII (</w:t>
      </w:r>
      <w:r w:rsidRPr="00FA6E4E">
        <w:t>Projekt zameraný na  životné situácie</w:t>
      </w:r>
      <w:r>
        <w:t xml:space="preserve">, </w:t>
      </w:r>
      <w:r w:rsidRPr="00FA6E4E">
        <w:t>Projekt zameraný na služby agendových informačných systémov</w:t>
      </w:r>
      <w:r>
        <w:t xml:space="preserve">, </w:t>
      </w:r>
      <w:r w:rsidRPr="00FA6E4E">
        <w:t xml:space="preserve">Projekt zameraný na </w:t>
      </w:r>
      <w:proofErr w:type="spellStart"/>
      <w:r w:rsidRPr="00FA6E4E">
        <w:t>cloudové</w:t>
      </w:r>
      <w:proofErr w:type="spellEnd"/>
      <w:r w:rsidRPr="00FA6E4E">
        <w:t xml:space="preserve"> služby</w:t>
      </w:r>
      <w:r>
        <w:t>)</w:t>
      </w:r>
    </w:p>
    <w:p w14:paraId="3D2FEDB2" w14:textId="77777777" w:rsidR="00BE0867" w:rsidRPr="00BE0867" w:rsidRDefault="00BE0867" w:rsidP="004C46AB">
      <w:pPr>
        <w:numPr>
          <w:ilvl w:val="0"/>
          <w:numId w:val="2"/>
        </w:numPr>
        <w:spacing w:after="0" w:line="240" w:lineRule="auto"/>
      </w:pPr>
      <w:r w:rsidRPr="00BE0867">
        <w:t>Limit na uplatnenie ustanovení čl. 61. pre programové období 2014 – 2020 sa vzťahuje na  limit 1 mil. EUR na celkové oprávnené výdavky projektu.</w:t>
      </w:r>
    </w:p>
    <w:p w14:paraId="72BE8A12" w14:textId="77777777" w:rsidR="00BE0867" w:rsidRPr="00BE0867" w:rsidRDefault="00BE0867" w:rsidP="004C46AB">
      <w:pPr>
        <w:numPr>
          <w:ilvl w:val="0"/>
          <w:numId w:val="2"/>
        </w:numPr>
        <w:spacing w:after="0" w:line="240" w:lineRule="auto"/>
      </w:pPr>
      <w:r w:rsidRPr="00BE0867">
        <w:t xml:space="preserve">Referenčné obdobie pre jednotlivé sektory stanovené Európskou komisiou v programovom období 2007-2013 malo odporúčací charakter, v programovom období 2014-2020 je stanovené ako záväzné a nemožno sa od stanovených hodnôt odchýliť. </w:t>
      </w:r>
    </w:p>
    <w:p w14:paraId="12C3CE87" w14:textId="77777777" w:rsidR="00BE0867" w:rsidRPr="00BE0867" w:rsidRDefault="00BE0867" w:rsidP="004C46AB">
      <w:pPr>
        <w:numPr>
          <w:ilvl w:val="0"/>
          <w:numId w:val="2"/>
        </w:numPr>
        <w:spacing w:after="0" w:line="240" w:lineRule="auto"/>
      </w:pPr>
      <w:r w:rsidRPr="00BE0867">
        <w:t xml:space="preserve">Európska komisia </w:t>
      </w:r>
      <w:proofErr w:type="spellStart"/>
      <w:r w:rsidRPr="00BE0867">
        <w:t>doporučuje</w:t>
      </w:r>
      <w:proofErr w:type="spellEnd"/>
      <w:r w:rsidRPr="00BE0867">
        <w:t xml:space="preserve"> výšku reálnej finančnej diskontnej sadzby na úrovni</w:t>
      </w:r>
      <w:r w:rsidRPr="00BE0867">
        <w:br/>
        <w:t>4 %.</w:t>
      </w:r>
    </w:p>
    <w:p w14:paraId="7CD6B96D" w14:textId="77777777" w:rsidR="00BE0867" w:rsidRDefault="00BE0867" w:rsidP="004C46AB">
      <w:pPr>
        <w:numPr>
          <w:ilvl w:val="0"/>
          <w:numId w:val="2"/>
        </w:numPr>
        <w:spacing w:after="0" w:line="240" w:lineRule="auto"/>
      </w:pPr>
      <w:r w:rsidRPr="00BE0867">
        <w:t>Sociálna diskontná sadzba pre Slovenskú republiku je 5%.</w:t>
      </w:r>
    </w:p>
    <w:p w14:paraId="668002DB" w14:textId="77777777" w:rsidR="00390AD2" w:rsidRDefault="00390AD2" w:rsidP="00390AD2"/>
    <w:p w14:paraId="068165BD" w14:textId="053E309A" w:rsidR="009B7BAD" w:rsidRDefault="00390AD2" w:rsidP="009B7BAD">
      <w:pPr>
        <w:pStyle w:val="Nadpis1"/>
      </w:pPr>
      <w:bookmarkStart w:id="8" w:name="_Toc422390670"/>
      <w:r>
        <w:t>Postup analýzy</w:t>
      </w:r>
      <w:bookmarkEnd w:id="8"/>
    </w:p>
    <w:p w14:paraId="4099E30D" w14:textId="78C0DE8F" w:rsidR="009B0CCA" w:rsidRPr="009B0CCA" w:rsidRDefault="009B0CCA" w:rsidP="009B0CCA">
      <w:pPr>
        <w:autoSpaceDE w:val="0"/>
        <w:autoSpaceDN w:val="0"/>
        <w:adjustRightInd w:val="0"/>
        <w:rPr>
          <w:szCs w:val="22"/>
        </w:rPr>
      </w:pPr>
      <w:r w:rsidRPr="009B0CCA">
        <w:rPr>
          <w:color w:val="000000"/>
          <w:szCs w:val="22"/>
        </w:rPr>
        <w:t xml:space="preserve">Ako sa stanovuje v článku 101 ods. 1 písm. e) nariadenia (EÚ) č. 1303/2013, súčasťou CBA musí byť ekonomická analýza. </w:t>
      </w:r>
      <w:r w:rsidRPr="009B0CCA">
        <w:rPr>
          <w:b/>
          <w:szCs w:val="22"/>
        </w:rPr>
        <w:t>Ekonomická analýza</w:t>
      </w:r>
      <w:r w:rsidRPr="009B0CCA">
        <w:rPr>
          <w:szCs w:val="22"/>
        </w:rPr>
        <w:t xml:space="preserve"> je analýza, ktorá sa vypracúva pomocou ekonomických hodnôt, ktoré odrážajú sociálne náklady príležitosti týkajúce sa tovaru a služieb.</w:t>
      </w:r>
    </w:p>
    <w:p w14:paraId="558ACD98" w14:textId="77777777" w:rsidR="009B0CCA" w:rsidRPr="009B0CCA" w:rsidRDefault="009B0CCA" w:rsidP="009B0CCA">
      <w:pPr>
        <w:autoSpaceDE w:val="0"/>
        <w:autoSpaceDN w:val="0"/>
        <w:adjustRightInd w:val="0"/>
        <w:rPr>
          <w:b/>
          <w:color w:val="000000"/>
          <w:szCs w:val="22"/>
        </w:rPr>
      </w:pPr>
      <w:r w:rsidRPr="009B0CCA">
        <w:rPr>
          <w:b/>
          <w:color w:val="000000"/>
          <w:szCs w:val="22"/>
        </w:rPr>
        <w:t>CBA veľkého projektu musí obsahovať nasledujúce prvky:</w:t>
      </w:r>
    </w:p>
    <w:p w14:paraId="48FE21ED" w14:textId="4FD815A5"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prezentácia kontextu;</w:t>
      </w:r>
    </w:p>
    <w:p w14:paraId="5868558A" w14:textId="7D6E8162"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vymedzenie cieľov;</w:t>
      </w:r>
    </w:p>
    <w:p w14:paraId="381F9CD9" w14:textId="77777777" w:rsidR="00FA6E4E" w:rsidRPr="00FA6E4E" w:rsidRDefault="009B0CCA" w:rsidP="00FA6007">
      <w:pPr>
        <w:pStyle w:val="Odsekzoznamu"/>
        <w:numPr>
          <w:ilvl w:val="0"/>
          <w:numId w:val="7"/>
        </w:numPr>
        <w:spacing w:after="0"/>
      </w:pPr>
      <w:r w:rsidRPr="009B0CCA">
        <w:rPr>
          <w:szCs w:val="22"/>
        </w:rPr>
        <w:t>identifikácia projektu</w:t>
      </w:r>
    </w:p>
    <w:p w14:paraId="50295B2F" w14:textId="2FD10B46" w:rsidR="009B0CCA" w:rsidRPr="00FA6E4E" w:rsidRDefault="009B0CCA" w:rsidP="00FA6007">
      <w:pPr>
        <w:pStyle w:val="Odsekzoznamu"/>
        <w:numPr>
          <w:ilvl w:val="0"/>
          <w:numId w:val="7"/>
        </w:numPr>
        <w:spacing w:after="0"/>
      </w:pPr>
      <w:r w:rsidRPr="00FA6E4E">
        <w:t>výsledky štúdií uskutočniteľnosti s analýzou dopytu a možností;</w:t>
      </w:r>
    </w:p>
    <w:p w14:paraId="5D9BF3B0" w14:textId="747695B5"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finančná analýza;</w:t>
      </w:r>
    </w:p>
    <w:p w14:paraId="42E08A11" w14:textId="045A27A2"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ekonomická analýza;</w:t>
      </w:r>
    </w:p>
    <w:p w14:paraId="3B1D93EE" w14:textId="11AF3477" w:rsid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posúdenie rizika.</w:t>
      </w:r>
    </w:p>
    <w:p w14:paraId="351AEC86" w14:textId="77777777" w:rsidR="009B0CCA" w:rsidRPr="00B403CD" w:rsidRDefault="009B0CCA" w:rsidP="009B0CCA">
      <w:r w:rsidRPr="00B403CD">
        <w:t>Pri štrukturálnych fondoch/Kohéznom fonde sa na základe finančnej analýzy projektu posudzujú dve alternatívy projektu:</w:t>
      </w:r>
    </w:p>
    <w:p w14:paraId="64F09E74" w14:textId="77777777" w:rsidR="009B0CCA" w:rsidRPr="00B403CD" w:rsidRDefault="009B0CCA" w:rsidP="004C46AB">
      <w:pPr>
        <w:numPr>
          <w:ilvl w:val="0"/>
          <w:numId w:val="6"/>
        </w:numPr>
        <w:suppressAutoHyphens/>
        <w:spacing w:after="0" w:line="240" w:lineRule="auto"/>
      </w:pPr>
      <w:r w:rsidRPr="00B403CD">
        <w:rPr>
          <w:b/>
        </w:rPr>
        <w:t>Alternatíva A</w:t>
      </w:r>
      <w:r w:rsidRPr="00B403CD">
        <w:t xml:space="preserve"> predstavuje takú situáciu, keď bude projekt realizovaný bez príspevku zo ŠF, inými slovami, teda projekt nebude schválený a jeho financovanie bude realizované zo súkromných zdrojov/verejných zdrojov.</w:t>
      </w:r>
    </w:p>
    <w:p w14:paraId="7DFBB6CE" w14:textId="77777777" w:rsidR="009B0CCA" w:rsidRDefault="009B0CCA" w:rsidP="004C46AB">
      <w:pPr>
        <w:numPr>
          <w:ilvl w:val="0"/>
          <w:numId w:val="6"/>
        </w:numPr>
        <w:suppressAutoHyphens/>
        <w:spacing w:after="0" w:line="240" w:lineRule="auto"/>
      </w:pPr>
      <w:r w:rsidRPr="00B403CD">
        <w:rPr>
          <w:b/>
        </w:rPr>
        <w:t>Alternatíva B</w:t>
      </w:r>
      <w:r w:rsidRPr="00B403CD">
        <w:t xml:space="preserve"> predstavuje takú situáciu, keď projekt bude </w:t>
      </w:r>
      <w:r>
        <w:t>schválený a financovaný z EŠIF.</w:t>
      </w:r>
    </w:p>
    <w:p w14:paraId="3CA107E7" w14:textId="77777777" w:rsidR="009B0CCA" w:rsidRDefault="009B0CCA" w:rsidP="009B0CCA">
      <w:pPr>
        <w:suppressAutoHyphens/>
        <w:spacing w:after="0" w:line="240" w:lineRule="auto"/>
        <w:ind w:left="720"/>
      </w:pPr>
    </w:p>
    <w:p w14:paraId="13DEDBA4" w14:textId="5B11CD86" w:rsidR="00467622" w:rsidRPr="006A5294" w:rsidRDefault="00467622" w:rsidP="00467622">
      <w:pPr>
        <w:pStyle w:val="Nadpis2"/>
      </w:pPr>
      <w:bookmarkStart w:id="9" w:name="_Toc406427673"/>
      <w:bookmarkStart w:id="10" w:name="_Toc422390671"/>
      <w:r w:rsidRPr="006A5294">
        <w:t>Vplyv inflácie</w:t>
      </w:r>
      <w:bookmarkEnd w:id="9"/>
      <w:bookmarkEnd w:id="10"/>
    </w:p>
    <w:p w14:paraId="08FA4FAC" w14:textId="77777777" w:rsidR="00467622" w:rsidRDefault="00467622" w:rsidP="00467622">
      <w:r w:rsidRPr="00B403CD">
        <w:t xml:space="preserve">Analýza sa vykonáva pri stálych cenách. Ak je to nutné, musia sa zohľadniť relatívne zmeny stálych cien počas posudzovaného obdobia. Vo finančnej analýze </w:t>
      </w:r>
      <w:r w:rsidRPr="00B403CD">
        <w:rPr>
          <w:b/>
        </w:rPr>
        <w:t>nezohľadňujeme</w:t>
      </w:r>
      <w:r w:rsidRPr="00B403CD">
        <w:t xml:space="preserve"> nárast cien v dôsledku  inflácie. Všetky vstupné údaje do finančnej analýzy (ako napr. výška miezd, ceny materiálu, energií, výstupov projektu a pod.) uvádzame </w:t>
      </w:r>
      <w:r w:rsidRPr="00B403CD">
        <w:rPr>
          <w:b/>
        </w:rPr>
        <w:t>v stálych cenách</w:t>
      </w:r>
      <w:r w:rsidRPr="00B403CD">
        <w:t>. Sú to ceny, ktoré budú aktuálne v čase predloženia žiadosti o NFP.</w:t>
      </w:r>
    </w:p>
    <w:p w14:paraId="5565D9C5" w14:textId="38D34639" w:rsidR="00542CEE" w:rsidRPr="00542CEE" w:rsidRDefault="00542CEE" w:rsidP="00542CEE">
      <w:pPr>
        <w:pStyle w:val="Nadpis2"/>
      </w:pPr>
      <w:bookmarkStart w:id="11" w:name="_Toc406427681"/>
      <w:bookmarkStart w:id="12" w:name="_Toc422390672"/>
      <w:r w:rsidRPr="00542CEE">
        <w:t>Kľúčové kroky ekonomickej analýzy</w:t>
      </w:r>
      <w:bookmarkEnd w:id="11"/>
      <w:bookmarkEnd w:id="12"/>
    </w:p>
    <w:p w14:paraId="6A7C37CB" w14:textId="77777777" w:rsidR="00542CEE" w:rsidRPr="00542CEE" w:rsidRDefault="00542CEE" w:rsidP="00542CEE">
      <w:pPr>
        <w:autoSpaceDE w:val="0"/>
        <w:autoSpaceDN w:val="0"/>
        <w:adjustRightInd w:val="0"/>
        <w:rPr>
          <w:color w:val="000000"/>
        </w:rPr>
      </w:pPr>
      <w:r w:rsidRPr="00542CEE">
        <w:rPr>
          <w:color w:val="000000"/>
        </w:rPr>
        <w:t xml:space="preserve">Ekonomická analýza by sa mala vypracovať v </w:t>
      </w:r>
      <w:r w:rsidRPr="00542CEE">
        <w:rPr>
          <w:b/>
          <w:color w:val="000000"/>
        </w:rPr>
        <w:t>stálych účtovných</w:t>
      </w:r>
      <w:r w:rsidRPr="00542CEE">
        <w:rPr>
          <w:color w:val="000000"/>
        </w:rPr>
        <w:t xml:space="preserve"> </w:t>
      </w:r>
      <w:r w:rsidRPr="00542CEE">
        <w:rPr>
          <w:b/>
          <w:color w:val="000000"/>
        </w:rPr>
        <w:t xml:space="preserve">(tieňových) cenách </w:t>
      </w:r>
      <w:r w:rsidRPr="00542CEE">
        <w:rPr>
          <w:color w:val="000000"/>
        </w:rPr>
        <w:t>a pri jej vypracovaní sa vychádza z finančnej analýzy peňažných tokov.</w:t>
      </w:r>
    </w:p>
    <w:p w14:paraId="3A7559E9" w14:textId="77777777" w:rsidR="00542CEE" w:rsidRPr="00542CEE" w:rsidRDefault="00542CEE" w:rsidP="00542CEE">
      <w:pPr>
        <w:autoSpaceDE w:val="0"/>
        <w:autoSpaceDN w:val="0"/>
        <w:adjustRightInd w:val="0"/>
      </w:pPr>
      <w:r w:rsidRPr="00542CEE">
        <w:rPr>
          <w:color w:val="000000"/>
        </w:rPr>
        <w:t>Ekonomická analýza obsahuje tieto kroky:</w:t>
      </w:r>
    </w:p>
    <w:p w14:paraId="43072074" w14:textId="41E704D0" w:rsidR="00542CEE" w:rsidRPr="00542CEE" w:rsidRDefault="00542CEE" w:rsidP="004C46AB">
      <w:pPr>
        <w:pStyle w:val="Odsekzoznamu"/>
        <w:numPr>
          <w:ilvl w:val="0"/>
          <w:numId w:val="12"/>
        </w:numPr>
      </w:pPr>
      <w:r w:rsidRPr="00542CEE">
        <w:t xml:space="preserve">Fiškálne korekcie na vylúčenie nepriamych daní (napr. DPH, spotrebných daní), dotácií a čistých transferových platieb poskytnutých verejným subjektom (napr. platieb z národných systémov zdravotnej starostlivosti) z ekonomickej analýzy. V prípade, že sú nepriame dane/dotácie určené na korekciu </w:t>
      </w:r>
      <w:proofErr w:type="spellStart"/>
      <w:r w:rsidRPr="00542CEE">
        <w:t>externalít</w:t>
      </w:r>
      <w:proofErr w:type="spellEnd"/>
      <w:r w:rsidRPr="00542CEE">
        <w:t xml:space="preserve">, tieto sa zahŕňajú do ekonomickej analýzy, ak sa usudzuje, že primerane odzrkadľujú sociálnu hraničnú hodnotu súvisiacich </w:t>
      </w:r>
      <w:proofErr w:type="spellStart"/>
      <w:r w:rsidRPr="00542CEE">
        <w:t>externalít</w:t>
      </w:r>
      <w:proofErr w:type="spellEnd"/>
      <w:r w:rsidRPr="00542CEE">
        <w:t>, a za predpokladu, že nedochádza k dvojitému započítavaniu s inými ekonomickými nákladmi a prínosmi.</w:t>
      </w:r>
    </w:p>
    <w:p w14:paraId="0374CFB2" w14:textId="53451D0B" w:rsidR="00542CEE" w:rsidRPr="00542CEE" w:rsidRDefault="00542CEE" w:rsidP="004C46AB">
      <w:pPr>
        <w:pStyle w:val="Odsekzoznamu"/>
        <w:numPr>
          <w:ilvl w:val="0"/>
          <w:numId w:val="12"/>
        </w:numPr>
      </w:pPr>
      <w:r w:rsidRPr="00542CEE">
        <w:t>Konverzia trhových cien na účtovné (tieňové) ceny pomocou finančných konverzných faktorov na finančné ceny, aby sa korigovala deformácia trhu. Ak konverzné faktory nie sú k dispozícii od národného úradu pre plánovanie a ak nedošlo k výraznej deformácii trhu, na zjednodušenie možno stanoviť konverzný faktor na hodnotu jedna (KF = 1). Konverzné faktory môžu byť vyššie (alebo nižšie) ako 1, ak sú účtovné ceny vyššie (alebo nižšie) ako trhové ceny.</w:t>
      </w:r>
    </w:p>
    <w:p w14:paraId="33509311" w14:textId="1BACBBD6" w:rsidR="00542CEE" w:rsidRPr="00542CEE" w:rsidRDefault="00542CEE" w:rsidP="004C46AB">
      <w:pPr>
        <w:pStyle w:val="Odsekzoznamu"/>
        <w:numPr>
          <w:ilvl w:val="0"/>
          <w:numId w:val="12"/>
        </w:numPr>
      </w:pPr>
      <w:r w:rsidRPr="00542CEE">
        <w:t xml:space="preserve">Peňažné vyjadrenie netrhových vplyvov (korekcie </w:t>
      </w:r>
      <w:proofErr w:type="spellStart"/>
      <w:r w:rsidRPr="00542CEE">
        <w:t>externalít</w:t>
      </w:r>
      <w:proofErr w:type="spellEnd"/>
      <w:r w:rsidRPr="00542CEE">
        <w:t xml:space="preserve">): </w:t>
      </w:r>
      <w:proofErr w:type="spellStart"/>
      <w:r w:rsidRPr="00542CEE">
        <w:t>externality</w:t>
      </w:r>
      <w:proofErr w:type="spellEnd"/>
      <w:r w:rsidRPr="00542CEE">
        <w:t xml:space="preserve"> sa odhadnú a ohodnotia podľa potreby pomocou metódy vyjadrených alebo prejavených preferencií (napr. hedonické oceňovanie) alebo iných metód.</w:t>
      </w:r>
    </w:p>
    <w:p w14:paraId="3526BDE1" w14:textId="77777777" w:rsidR="00542CEE" w:rsidRPr="00542CEE" w:rsidRDefault="00542CEE" w:rsidP="004C46AB">
      <w:pPr>
        <w:pStyle w:val="Odsekzoznamu"/>
        <w:numPr>
          <w:ilvl w:val="0"/>
          <w:numId w:val="12"/>
        </w:numPr>
        <w:autoSpaceDE w:val="0"/>
        <w:autoSpaceDN w:val="0"/>
        <w:adjustRightInd w:val="0"/>
        <w:rPr>
          <w:color w:val="000000"/>
        </w:rPr>
      </w:pPr>
      <w:r w:rsidRPr="00542CEE">
        <w:rPr>
          <w:color w:val="000000"/>
        </w:rPr>
        <w:t xml:space="preserve">V ekonomickej analýze sa zohľadňujú </w:t>
      </w:r>
      <w:r w:rsidRPr="00542CEE">
        <w:rPr>
          <w:b/>
          <w:color w:val="000000"/>
        </w:rPr>
        <w:t>iba priame účinky</w:t>
      </w:r>
      <w:r w:rsidRPr="00542CEE">
        <w:rPr>
          <w:color w:val="000000"/>
        </w:rPr>
        <w:t xml:space="preserve">, aby sa predišlo dvojitému započítavaniu, pričom vo všeobecnosti tieňové ceny a peňažné vyjadrenie </w:t>
      </w:r>
      <w:proofErr w:type="spellStart"/>
      <w:r w:rsidRPr="00542CEE">
        <w:rPr>
          <w:color w:val="000000"/>
        </w:rPr>
        <w:t>externalít</w:t>
      </w:r>
      <w:proofErr w:type="spellEnd"/>
      <w:r w:rsidRPr="00542CEE">
        <w:rPr>
          <w:color w:val="000000"/>
        </w:rPr>
        <w:t xml:space="preserve"> predstavujú nepriame účinky.</w:t>
      </w:r>
    </w:p>
    <w:p w14:paraId="2A4F3E40" w14:textId="77777777" w:rsidR="00542CEE" w:rsidRPr="00542CEE" w:rsidRDefault="00542CEE" w:rsidP="004C46AB">
      <w:pPr>
        <w:pStyle w:val="Odsekzoznamu"/>
        <w:numPr>
          <w:ilvl w:val="1"/>
          <w:numId w:val="12"/>
        </w:numPr>
        <w:autoSpaceDE w:val="0"/>
        <w:autoSpaceDN w:val="0"/>
        <w:adjustRightInd w:val="0"/>
        <w:rPr>
          <w:bCs/>
          <w:color w:val="000000"/>
        </w:rPr>
      </w:pPr>
      <w:r w:rsidRPr="00542CEE">
        <w:rPr>
          <w:b/>
        </w:rPr>
        <w:t>Finančné príjmy</w:t>
      </w:r>
      <w:r w:rsidRPr="00542CEE">
        <w:t xml:space="preserve"> vo forme používateľských poplatkov sú vylúčené z ekonomickej analýzy a nahrádzajú sa odhadom priamych účinkov na používateľov, či už prostredníctvom „ochoty platiť“ alebo účtovných cien</w:t>
      </w:r>
      <w:r w:rsidRPr="00542CEE">
        <w:rPr>
          <w:color w:val="000000"/>
        </w:rPr>
        <w:t xml:space="preserve">. </w:t>
      </w:r>
      <w:r w:rsidRPr="00542CEE">
        <w:t>Používateľské poplatky, a to najmä v odvetviach, ktoré nie sú vystavené hospodárskej súťaži na trhu, v regulovaných odvetviach alebo odvetviach výrazne ovplyvňovaných politickými hľadiskami, by sa nemali používať ako náhrada za „ochotu platiť“ zo strany používateľa.</w:t>
      </w:r>
    </w:p>
    <w:p w14:paraId="402F13B8" w14:textId="5E5A1EAE" w:rsidR="00542CEE" w:rsidRPr="00542CEE" w:rsidRDefault="00542CEE" w:rsidP="004C46AB">
      <w:pPr>
        <w:pStyle w:val="Odsekzoznamu"/>
        <w:numPr>
          <w:ilvl w:val="0"/>
          <w:numId w:val="12"/>
        </w:numPr>
        <w:autoSpaceDE w:val="0"/>
        <w:autoSpaceDN w:val="0"/>
        <w:adjustRightInd w:val="0"/>
        <w:rPr>
          <w:bCs/>
          <w:color w:val="000000"/>
          <w:szCs w:val="22"/>
        </w:rPr>
      </w:pPr>
      <w:r w:rsidRPr="00542CEE">
        <w:t xml:space="preserve">Diskontovanie odhadovaných nákladov a prínosov: keď sa odhadne tok ekonomických nákladov a prínosov, mala by sa uplatniť štandardná diskontovaná metodika peňažného toku pomocou sociálnej diskontnej sadzby (SDR). Hodnota pre sociálnu diskontnú sadzbu je pre Slovenskú republiku </w:t>
      </w:r>
      <w:r w:rsidRPr="00542CEE">
        <w:rPr>
          <w:b/>
        </w:rPr>
        <w:t>5,0</w:t>
      </w:r>
      <w:r w:rsidRPr="00542CEE">
        <w:t xml:space="preserve"> %. Sociálna diskontná sadzby ako referenčná hodnota sa musí dôsledne uplatňovať vo všetkých projektoch</w:t>
      </w:r>
      <w:r>
        <w:t xml:space="preserve">. </w:t>
      </w:r>
      <w:r w:rsidRPr="00542CEE">
        <w:rPr>
          <w:color w:val="000000"/>
        </w:rPr>
        <w:t>Členské štáty môžu pre sociálnu diskontnú sadzbu stanoviť inú referenčnú hodnotu za podmienky, že:</w:t>
      </w:r>
    </w:p>
    <w:p w14:paraId="69145A6D" w14:textId="77777777" w:rsidR="00542CEE" w:rsidRPr="00542CEE" w:rsidRDefault="00542CEE" w:rsidP="004C46AB">
      <w:pPr>
        <w:pStyle w:val="Odsekzoznamu"/>
        <w:numPr>
          <w:ilvl w:val="1"/>
          <w:numId w:val="12"/>
        </w:numPr>
      </w:pPr>
      <w:r w:rsidRPr="00542CEE">
        <w:t>odôvodnia tieto referenčné hodnoty na základe prognózy rastu hospodárstva a iných parametrov určujúcich SDR v rámci prístupu SRTP a</w:t>
      </w:r>
    </w:p>
    <w:p w14:paraId="4CDDE69B" w14:textId="77777777" w:rsidR="00542CEE" w:rsidRPr="00542CEE" w:rsidRDefault="00542CEE" w:rsidP="004C46AB">
      <w:pPr>
        <w:pStyle w:val="Odsekzoznamu"/>
        <w:numPr>
          <w:ilvl w:val="1"/>
          <w:numId w:val="12"/>
        </w:numPr>
      </w:pPr>
      <w:r w:rsidRPr="00542CEE">
        <w:t>zabezpečia jej jednotné uplatňovanie na všetky podobné projekty v rovnakej krajine, v rovnakom regióne alebo odvetví.</w:t>
      </w:r>
    </w:p>
    <w:p w14:paraId="77E4AE6F" w14:textId="77777777" w:rsidR="00542CEE" w:rsidRDefault="00542CEE" w:rsidP="00542CEE">
      <w:pPr>
        <w:autoSpaceDE w:val="0"/>
        <w:autoSpaceDN w:val="0"/>
        <w:adjustRightInd w:val="0"/>
        <w:rPr>
          <w:szCs w:val="22"/>
        </w:rPr>
      </w:pPr>
      <w:r w:rsidRPr="00542CEE">
        <w:rPr>
          <w:szCs w:val="22"/>
        </w:rPr>
        <w:t>Informácie o odlišnej referenčnej hodnote sa dajú k dispozícii prijímateľom a Komisii na začiatku operačného programu.</w:t>
      </w:r>
    </w:p>
    <w:p w14:paraId="49B6FB61" w14:textId="77777777" w:rsidR="00A43CFD" w:rsidRPr="00A43CFD" w:rsidRDefault="00A43CFD" w:rsidP="00A43CFD">
      <w:pPr>
        <w:pStyle w:val="Nadpis3"/>
        <w:ind w:left="709"/>
      </w:pPr>
      <w:bookmarkStart w:id="13" w:name="_Toc422390673"/>
      <w:r w:rsidRPr="00A43CFD">
        <w:t>Analýza citlivosti a rizík</w:t>
      </w:r>
      <w:bookmarkEnd w:id="13"/>
    </w:p>
    <w:p w14:paraId="3FA97237" w14:textId="4F5B9449" w:rsidR="00A43CFD" w:rsidRPr="00A43CFD" w:rsidRDefault="00A43CFD" w:rsidP="00A43CFD">
      <w:pPr>
        <w:autoSpaceDE w:val="0"/>
        <w:autoSpaceDN w:val="0"/>
        <w:adjustRightInd w:val="0"/>
        <w:rPr>
          <w:szCs w:val="22"/>
        </w:rPr>
      </w:pPr>
      <w:r w:rsidRPr="00A43CFD">
        <w:rPr>
          <w:color w:val="000000"/>
          <w:szCs w:val="22"/>
        </w:rPr>
        <w:t>Ako je uvedené v článku 101 ods. 1 písm. e) nariadenia (EÚ) č. 1303/2013, súčasťou CBA musí byť posúdenie rizika. Je to potrebné na odstránenie neistoty, ktorá je vždy súčasťou investičných projektov. Posúdenie rizika umožňuje, aby navrhovateľ projektu lepšie pochopil, ako sa pravdepodobne zmenia odhadované vplyvy, ak sa niektoré kľúčové premenné ukážu byť odlišné, ako sa očakávalo. Dôkladná analýza rizík predstavuje základ pre riadnu stratégiu riadenia rizika, ktorá sa následne premietne do návrhu projektu.</w:t>
      </w:r>
      <w:r w:rsidRPr="00A43CFD">
        <w:rPr>
          <w:szCs w:val="22"/>
        </w:rPr>
        <w:t xml:space="preserve"> Osobitná pozornosť by sa mala venovať aspektom týkajúcim sa zmeny klímy a životného prostredia.</w:t>
      </w:r>
    </w:p>
    <w:p w14:paraId="628F8E41" w14:textId="77777777" w:rsidR="00A43CFD" w:rsidRPr="00A43CFD" w:rsidRDefault="00A43CFD" w:rsidP="00A43CFD">
      <w:pPr>
        <w:autoSpaceDE w:val="0"/>
        <w:autoSpaceDN w:val="0"/>
        <w:adjustRightInd w:val="0"/>
        <w:rPr>
          <w:bCs/>
          <w:color w:val="000000"/>
          <w:szCs w:val="22"/>
        </w:rPr>
      </w:pPr>
      <w:r w:rsidRPr="00A43CFD">
        <w:rPr>
          <w:color w:val="000000"/>
          <w:szCs w:val="22"/>
        </w:rPr>
        <w:t>Posúdenie rizika musí zahŕňať dva kroky:</w:t>
      </w:r>
    </w:p>
    <w:p w14:paraId="3851517E" w14:textId="77777777" w:rsidR="00A43CFD" w:rsidRPr="00A43CFD" w:rsidRDefault="00A43CFD" w:rsidP="00A43CFD">
      <w:pPr>
        <w:autoSpaceDE w:val="0"/>
        <w:autoSpaceDN w:val="0"/>
        <w:adjustRightInd w:val="0"/>
        <w:rPr>
          <w:bCs/>
          <w:color w:val="000000"/>
          <w:szCs w:val="22"/>
        </w:rPr>
      </w:pPr>
      <w:r w:rsidRPr="00A43CFD">
        <w:rPr>
          <w:color w:val="000000"/>
          <w:szCs w:val="22"/>
        </w:rPr>
        <w:t xml:space="preserve">1. V </w:t>
      </w:r>
      <w:r w:rsidRPr="00A43CFD">
        <w:rPr>
          <w:b/>
          <w:color w:val="000000"/>
          <w:szCs w:val="22"/>
        </w:rPr>
        <w:t>analýze citlivosti</w:t>
      </w:r>
      <w:r w:rsidRPr="00A43CFD">
        <w:rPr>
          <w:color w:val="000000"/>
          <w:szCs w:val="22"/>
        </w:rPr>
        <w:t>, ktorou sa určujú „kritické“ premenné alebo parametre modelu (t. j. tie, ktorých pozitívne alebo negatívne odchýlky majú najväčší vplyv na ukazovatele výkonnosti daného projektu), sa musia zohľadniť tieto aspekty:</w:t>
      </w:r>
    </w:p>
    <w:p w14:paraId="22B02E9C" w14:textId="77777777" w:rsidR="00A43CFD" w:rsidRPr="00A43CFD" w:rsidRDefault="00A43CFD" w:rsidP="00A43CFD">
      <w:pPr>
        <w:pStyle w:val="Bullet0"/>
        <w:rPr>
          <w:rFonts w:ascii="Arial Narrow" w:hAnsi="Arial Narrow"/>
          <w:sz w:val="22"/>
        </w:rPr>
      </w:pPr>
      <w:r w:rsidRPr="00A43CFD">
        <w:rPr>
          <w:rFonts w:ascii="Arial Narrow" w:hAnsi="Arial Narrow"/>
          <w:sz w:val="22"/>
        </w:rPr>
        <w:t>Kritické premenné sú tie, pri ktorých odchýlka 1 % spôsobí odchýlku viac ako 1 % hodnoty NPV.</w:t>
      </w:r>
    </w:p>
    <w:p w14:paraId="5BF8D65C" w14:textId="77777777" w:rsidR="00A43CFD" w:rsidRPr="00A43CFD" w:rsidRDefault="00A43CFD" w:rsidP="00A43CFD">
      <w:pPr>
        <w:pStyle w:val="Bullet0"/>
        <w:rPr>
          <w:rFonts w:ascii="Arial Narrow" w:hAnsi="Arial Narrow"/>
          <w:sz w:val="22"/>
        </w:rPr>
      </w:pPr>
      <w:r w:rsidRPr="00A43CFD">
        <w:rPr>
          <w:rFonts w:ascii="Arial Narrow" w:hAnsi="Arial Narrow"/>
          <w:sz w:val="22"/>
        </w:rPr>
        <w:t>Pri tejto analýze sa zmení vždy jeden prvok naraz a určí sa účinok tejto zmeny na NPV.</w:t>
      </w:r>
    </w:p>
    <w:p w14:paraId="74447065" w14:textId="77777777" w:rsidR="00A43CFD" w:rsidRPr="00A43CFD" w:rsidRDefault="00A43CFD" w:rsidP="00A43CFD">
      <w:pPr>
        <w:pStyle w:val="Bullet0"/>
        <w:rPr>
          <w:rFonts w:ascii="Arial Narrow" w:hAnsi="Arial Narrow"/>
          <w:sz w:val="22"/>
        </w:rPr>
      </w:pPr>
      <w:r w:rsidRPr="00A43CFD">
        <w:rPr>
          <w:rFonts w:ascii="Arial Narrow" w:hAnsi="Arial Narrow"/>
          <w:b/>
          <w:sz w:val="22"/>
        </w:rPr>
        <w:t>Meniace sa hodnoty</w:t>
      </w:r>
      <w:r w:rsidRPr="00A43CFD">
        <w:rPr>
          <w:rFonts w:ascii="Arial Narrow" w:hAnsi="Arial Narrow"/>
          <w:sz w:val="22"/>
        </w:rPr>
        <w:t xml:space="preserve"> sú vymedzené ako percentuálna zmena kritickej premennej potrebná na to, aby sa NPV rovnala nule.</w:t>
      </w:r>
    </w:p>
    <w:p w14:paraId="0098BEE4" w14:textId="77777777" w:rsidR="00A43CFD" w:rsidRPr="00A43CFD" w:rsidRDefault="00A43CFD" w:rsidP="00A43CFD">
      <w:pPr>
        <w:pStyle w:val="Bullet0"/>
        <w:rPr>
          <w:rFonts w:ascii="Arial Narrow" w:hAnsi="Arial Narrow"/>
          <w:sz w:val="22"/>
        </w:rPr>
      </w:pPr>
      <w:r w:rsidRPr="00A43CFD">
        <w:rPr>
          <w:rFonts w:ascii="Arial Narrow" w:hAnsi="Arial Narrow"/>
          <w:b/>
          <w:sz w:val="22"/>
        </w:rPr>
        <w:t>Analýza scenárov</w:t>
      </w:r>
      <w:r w:rsidRPr="00A43CFD">
        <w:rPr>
          <w:rFonts w:ascii="Arial Narrow" w:hAnsi="Arial Narrow"/>
          <w:sz w:val="22"/>
        </w:rPr>
        <w:t xml:space="preserve"> umožňuje preštudovať kombinovaný vplyv určených súborov kritických hodnôt a najmä kombináciu optimistických a pesimistických hodnôt skupiny premenných pri vytváraní rôznych scenárov, ktoré môžu fungovať na základe určitých hypotéz.</w:t>
      </w:r>
    </w:p>
    <w:p w14:paraId="7EDFEF64" w14:textId="77777777" w:rsidR="00A43CFD" w:rsidRPr="00A43CFD" w:rsidRDefault="00A43CFD" w:rsidP="00A43CFD">
      <w:pPr>
        <w:contextualSpacing/>
        <w:rPr>
          <w:szCs w:val="22"/>
        </w:rPr>
      </w:pPr>
      <w:r w:rsidRPr="00A43CFD">
        <w:rPr>
          <w:szCs w:val="22"/>
        </w:rPr>
        <w:t xml:space="preserve">2. </w:t>
      </w:r>
      <w:r w:rsidRPr="00A43CFD">
        <w:rPr>
          <w:b/>
          <w:szCs w:val="22"/>
        </w:rPr>
        <w:t>Kvalitatívna analýza rizika</w:t>
      </w:r>
      <w:r w:rsidRPr="00A43CFD">
        <w:rPr>
          <w:szCs w:val="22"/>
        </w:rPr>
        <w:t xml:space="preserve"> vrátane predchádzania rizikám ich zmierňovania, ktorá musí obsahovať tieto prvky:</w:t>
      </w:r>
    </w:p>
    <w:p w14:paraId="6FEFC2DE" w14:textId="77777777" w:rsidR="00A43CFD" w:rsidRPr="00A43CFD" w:rsidRDefault="00A43CFD" w:rsidP="00A43CFD">
      <w:pPr>
        <w:pStyle w:val="Bullet0"/>
        <w:rPr>
          <w:rFonts w:ascii="Arial Narrow" w:hAnsi="Arial Narrow"/>
          <w:sz w:val="22"/>
        </w:rPr>
      </w:pPr>
      <w:r w:rsidRPr="00A43CFD">
        <w:rPr>
          <w:rFonts w:ascii="Arial Narrow" w:hAnsi="Arial Narrow"/>
          <w:sz w:val="22"/>
        </w:rPr>
        <w:t>zoznam rizík, ktorým je projekt vystavený,</w:t>
      </w:r>
    </w:p>
    <w:p w14:paraId="5C13A779" w14:textId="77777777" w:rsidR="00A43CFD" w:rsidRPr="00A43CFD" w:rsidRDefault="00A43CFD" w:rsidP="00A43CFD">
      <w:pPr>
        <w:pStyle w:val="Bullet0"/>
        <w:rPr>
          <w:rFonts w:ascii="Arial Narrow" w:hAnsi="Arial Narrow"/>
          <w:sz w:val="22"/>
        </w:rPr>
      </w:pPr>
      <w:r w:rsidRPr="00A43CFD">
        <w:rPr>
          <w:rFonts w:ascii="Arial Narrow" w:hAnsi="Arial Narrow"/>
          <w:sz w:val="22"/>
        </w:rPr>
        <w:t>matica rizík znázorňujúca pre každé zistené riziko:</w:t>
      </w:r>
    </w:p>
    <w:p w14:paraId="790CAB4A"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možné príčiny zlyhania, </w:t>
      </w:r>
    </w:p>
    <w:p w14:paraId="76142A05"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väzbu na analýzu citlivosti v prípade potreby, </w:t>
      </w:r>
    </w:p>
    <w:p w14:paraId="7E9CF0A2"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negatívne účinky na projekt, </w:t>
      </w:r>
    </w:p>
    <w:p w14:paraId="65C86991"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klasifikovanú (napr. veľmi nepravdepodobne, nepravdepodobne, rovnako pravdepodobne ako nepravdepodobne, pravdepodobne, veľmi pravdepodobne) úroveň pravdepodobnosti výskytu a závažnosti vplyvu, </w:t>
      </w:r>
    </w:p>
    <w:p w14:paraId="5486BD1C" w14:textId="77777777" w:rsidR="00A43CFD" w:rsidRPr="00A43CFD" w:rsidRDefault="00A43CFD" w:rsidP="00A43CFD">
      <w:pPr>
        <w:pStyle w:val="Tiret1"/>
        <w:rPr>
          <w:rFonts w:ascii="Arial Narrow" w:hAnsi="Arial Narrow"/>
          <w:sz w:val="22"/>
        </w:rPr>
      </w:pPr>
      <w:r w:rsidRPr="00A43CFD">
        <w:rPr>
          <w:rFonts w:ascii="Arial Narrow" w:hAnsi="Arial Narrow"/>
          <w:sz w:val="22"/>
        </w:rPr>
        <w:t>úroveň rizika (t. j. kombinácia pravdepodobnosti a vplyvu),</w:t>
      </w:r>
    </w:p>
    <w:p w14:paraId="5011C86B" w14:textId="77777777" w:rsidR="00A43CFD" w:rsidRPr="00A43CFD" w:rsidRDefault="00A43CFD" w:rsidP="00A43CFD">
      <w:pPr>
        <w:pStyle w:val="Bullet0"/>
        <w:rPr>
          <w:rFonts w:ascii="Arial Narrow" w:hAnsi="Arial Narrow"/>
          <w:sz w:val="22"/>
        </w:rPr>
      </w:pPr>
      <w:r w:rsidRPr="00A43CFD">
        <w:rPr>
          <w:rFonts w:ascii="Arial Narrow" w:hAnsi="Arial Narrow"/>
          <w:sz w:val="22"/>
        </w:rPr>
        <w:t>identifikácia preventívnych a zmierňujúcich opatrení vrátane subjektu zodpovedného za predchádzanie hlavným rizikám a za ich zmierňovanie, štandardných postupov, ak je to vhodné, a so zreteľom na osvedčené postupy, keď je to možné, ktoré sa majú použiť na zníženie rizika expozície, ak sa to považuje za potrebné,</w:t>
      </w:r>
    </w:p>
    <w:p w14:paraId="55428444" w14:textId="77777777" w:rsidR="00A43CFD" w:rsidRPr="00A43CFD" w:rsidRDefault="00A43CFD" w:rsidP="00A43CFD">
      <w:pPr>
        <w:pStyle w:val="Bullet0"/>
        <w:rPr>
          <w:rFonts w:ascii="Arial Narrow" w:hAnsi="Arial Narrow"/>
          <w:sz w:val="22"/>
        </w:rPr>
      </w:pPr>
      <w:r w:rsidRPr="00A43CFD">
        <w:rPr>
          <w:rFonts w:ascii="Arial Narrow" w:hAnsi="Arial Narrow"/>
          <w:sz w:val="22"/>
        </w:rPr>
        <w:t>výklad matice rizík vrátane posúdenia zostatkových rizík po uplatnení preventívnych a zmierňujúcich opatrení.</w:t>
      </w:r>
    </w:p>
    <w:p w14:paraId="73D904E9" w14:textId="77777777" w:rsidR="00A43CFD" w:rsidRPr="00A43CFD" w:rsidRDefault="00A43CFD" w:rsidP="00A43CFD">
      <w:pPr>
        <w:autoSpaceDE w:val="0"/>
        <w:autoSpaceDN w:val="0"/>
        <w:adjustRightInd w:val="0"/>
        <w:rPr>
          <w:color w:val="000000"/>
          <w:szCs w:val="22"/>
        </w:rPr>
      </w:pPr>
      <w:r w:rsidRPr="00A43CFD">
        <w:rPr>
          <w:szCs w:val="22"/>
        </w:rPr>
        <w:t>Okrem toho posúdenie rizika môže zahŕňať v prípade potreby (v závislosti od veľkosti projektu, dostupnosti údajov) – a malo by zahŕňať v prípade, že expozícia voči zostatkovému riziku je stále výrazná – pravdepodobnostnú analýzu rizika, ktorá obsahuje tieto kroky:</w:t>
      </w:r>
    </w:p>
    <w:p w14:paraId="679E412C" w14:textId="77777777" w:rsidR="00A43CFD" w:rsidRPr="00A43CFD" w:rsidRDefault="00A43CFD" w:rsidP="00A43CFD">
      <w:pPr>
        <w:autoSpaceDE w:val="0"/>
        <w:autoSpaceDN w:val="0"/>
        <w:adjustRightInd w:val="0"/>
        <w:rPr>
          <w:b/>
          <w:bCs/>
          <w:color w:val="000000"/>
          <w:szCs w:val="22"/>
        </w:rPr>
      </w:pPr>
      <w:r w:rsidRPr="00A43CFD">
        <w:rPr>
          <w:color w:val="000000"/>
          <w:szCs w:val="22"/>
        </w:rPr>
        <w:t xml:space="preserve">1. </w:t>
      </w:r>
      <w:r w:rsidRPr="00A43CFD">
        <w:rPr>
          <w:b/>
          <w:color w:val="000000"/>
          <w:szCs w:val="22"/>
        </w:rPr>
        <w:t>Rozdelenie pravdepodobnosti pre kritické premenné</w:t>
      </w:r>
      <w:r w:rsidRPr="00A43CFD">
        <w:rPr>
          <w:color w:val="000000"/>
          <w:szCs w:val="22"/>
        </w:rPr>
        <w:t xml:space="preserve"> s informáciou o pravdepodobnosti výskytu určitej percentuálnej zmeny kritických premenných. Výpočet rozdelenia pravdepodobnosti kritických premenných je potrebný na vypracovanie kvantitatívnej analýzy rizika;</w:t>
      </w:r>
    </w:p>
    <w:p w14:paraId="3D372FCB" w14:textId="77777777" w:rsidR="00A43CFD" w:rsidRPr="00A43CFD" w:rsidRDefault="00A43CFD" w:rsidP="00A43CFD">
      <w:pPr>
        <w:contextualSpacing/>
        <w:rPr>
          <w:szCs w:val="22"/>
        </w:rPr>
      </w:pPr>
      <w:r w:rsidRPr="00A43CFD">
        <w:rPr>
          <w:szCs w:val="22"/>
        </w:rPr>
        <w:t xml:space="preserve">2. </w:t>
      </w:r>
      <w:r w:rsidRPr="00A43CFD">
        <w:rPr>
          <w:b/>
          <w:szCs w:val="22"/>
        </w:rPr>
        <w:t>Kvantitatívna analýza rizika</w:t>
      </w:r>
      <w:r w:rsidRPr="00A43CFD">
        <w:rPr>
          <w:szCs w:val="22"/>
        </w:rPr>
        <w:t xml:space="preserve"> založená na simulácii Monte Carlo, ktorá poskytuje rozdelenie pravdepodobnosti a štatistické ukazovatele spojené s očakávaným výsledkom, štandardná odchýlka (STD) atď. ukazovateľov finančnej a ekonomickej výkonnosti projektu.</w:t>
      </w:r>
    </w:p>
    <w:p w14:paraId="7DF1047E" w14:textId="77777777" w:rsidR="00A43CFD" w:rsidRPr="00A43CFD" w:rsidRDefault="00A43CFD" w:rsidP="00542CEE">
      <w:pPr>
        <w:autoSpaceDE w:val="0"/>
        <w:autoSpaceDN w:val="0"/>
        <w:adjustRightInd w:val="0"/>
        <w:rPr>
          <w:b/>
          <w:color w:val="000000"/>
          <w:szCs w:val="22"/>
        </w:rPr>
      </w:pPr>
    </w:p>
    <w:p w14:paraId="1B04C845" w14:textId="77777777" w:rsidR="00542CEE" w:rsidRPr="00542CEE" w:rsidRDefault="00542CEE" w:rsidP="00542CEE">
      <w:pPr>
        <w:pStyle w:val="MPCKO3"/>
        <w:rPr>
          <w:rFonts w:ascii="Arial Narrow" w:hAnsi="Arial Narrow"/>
        </w:rPr>
      </w:pPr>
      <w:bookmarkStart w:id="14" w:name="_Toc406427682"/>
      <w:r w:rsidRPr="00542CEE">
        <w:rPr>
          <w:rFonts w:ascii="Arial Narrow" w:hAnsi="Arial Narrow"/>
        </w:rPr>
        <w:t>2.2.2 Ukazovatele ekonomickej výkonnosti:</w:t>
      </w:r>
      <w:bookmarkEnd w:id="14"/>
    </w:p>
    <w:p w14:paraId="568D3756" w14:textId="77777777" w:rsidR="00542CEE" w:rsidRPr="00542CEE" w:rsidRDefault="00542CEE" w:rsidP="00542CEE">
      <w:pPr>
        <w:rPr>
          <w:szCs w:val="22"/>
        </w:rPr>
      </w:pPr>
      <w:r w:rsidRPr="00542CEE">
        <w:rPr>
          <w:szCs w:val="22"/>
        </w:rPr>
        <w:t>Základnými ukazovateľmi používanými pre vyhodnotenie výsledkov analýzy nákladov a prínosov a posúdenie prínosu projektu sú:</w:t>
      </w:r>
    </w:p>
    <w:p w14:paraId="11308608" w14:textId="0890DEE2" w:rsidR="00542CEE" w:rsidRDefault="00542CEE" w:rsidP="004C46AB">
      <w:pPr>
        <w:pStyle w:val="Point0"/>
        <w:numPr>
          <w:ilvl w:val="0"/>
          <w:numId w:val="11"/>
        </w:numPr>
        <w:rPr>
          <w:rFonts w:ascii="Arial Narrow" w:hAnsi="Arial Narrow"/>
          <w:sz w:val="22"/>
        </w:rPr>
      </w:pPr>
      <w:r w:rsidRPr="00542CEE">
        <w:rPr>
          <w:rFonts w:ascii="Arial Narrow" w:hAnsi="Arial Narrow"/>
          <w:b/>
          <w:sz w:val="22"/>
        </w:rPr>
        <w:t>Čistá súčasná ekonomická hodnota</w:t>
      </w:r>
      <w:r w:rsidRPr="00542CEE">
        <w:rPr>
          <w:rFonts w:ascii="Arial Narrow" w:hAnsi="Arial Narrow"/>
          <w:sz w:val="22"/>
        </w:rPr>
        <w:t xml:space="preserve"> (ENPV) je hlavným referenčným ukazovateľom pre hodnotenie projektov. Je vymedzená ako rozdiel medzi diskontovanými celkovými sociálnymi prínosmi a nákladmi. Aby bol projekt prijateľný z ekonomického hľadiska, čistá súčasná ekonomická hodnota by mala byť kladná (</w:t>
      </w:r>
      <w:r w:rsidRPr="00542CEE">
        <w:rPr>
          <w:rFonts w:ascii="Arial Narrow" w:hAnsi="Arial Narrow"/>
          <w:b/>
          <w:sz w:val="22"/>
        </w:rPr>
        <w:t>ENPV &gt; 0</w:t>
      </w:r>
      <w:r w:rsidRPr="00542CEE">
        <w:rPr>
          <w:rFonts w:ascii="Arial Narrow" w:hAnsi="Arial Narrow"/>
          <w:sz w:val="22"/>
        </w:rPr>
        <w:t>), čím sa preukáže, že spoločnosť daného regiónu alebo krajiny má z projektu prínos, keďže prínosy projektu prevyšujú jeho náklady, a preto by sa mal tento projekt zrealizovať.</w:t>
      </w:r>
    </w:p>
    <w:p w14:paraId="6B2CFAB9" w14:textId="24A783DC" w:rsidR="00E92DA3" w:rsidRPr="00542CEE" w:rsidRDefault="00E92DA3" w:rsidP="004C46AB">
      <w:pPr>
        <w:pStyle w:val="Point0"/>
        <w:numPr>
          <w:ilvl w:val="1"/>
          <w:numId w:val="11"/>
        </w:numPr>
        <w:rPr>
          <w:rFonts w:ascii="Arial Narrow" w:hAnsi="Arial Narrow"/>
          <w:sz w:val="22"/>
        </w:rPr>
      </w:pPr>
      <w:r>
        <w:rPr>
          <w:rFonts w:ascii="Arial Narrow" w:hAnsi="Arial Narrow"/>
          <w:sz w:val="22"/>
        </w:rPr>
        <w:t>ENPV by</w:t>
      </w:r>
      <w:r w:rsidRPr="00542CEE">
        <w:rPr>
          <w:rFonts w:ascii="Arial Narrow" w:hAnsi="Arial Narrow"/>
          <w:sz w:val="22"/>
        </w:rPr>
        <w:t xml:space="preserve"> mala byť vyššia ako nula, aby bol projekt vhodný z ekonomického hľadiska.</w:t>
      </w:r>
    </w:p>
    <w:p w14:paraId="1B9A1006" w14:textId="77777777" w:rsidR="00E92DA3" w:rsidRDefault="00542CEE" w:rsidP="004C46AB">
      <w:pPr>
        <w:pStyle w:val="Point0"/>
        <w:numPr>
          <w:ilvl w:val="0"/>
          <w:numId w:val="11"/>
        </w:numPr>
        <w:tabs>
          <w:tab w:val="num" w:pos="1068"/>
        </w:tabs>
        <w:rPr>
          <w:rFonts w:ascii="Arial Narrow" w:hAnsi="Arial Narrow"/>
          <w:sz w:val="22"/>
        </w:rPr>
      </w:pPr>
      <w:r w:rsidRPr="00E92DA3">
        <w:rPr>
          <w:rFonts w:ascii="Arial Narrow" w:hAnsi="Arial Narrow"/>
          <w:b/>
          <w:sz w:val="22"/>
        </w:rPr>
        <w:t>Ekonomická miera návratnosti</w:t>
      </w:r>
      <w:r w:rsidRPr="00E92DA3">
        <w:rPr>
          <w:rFonts w:ascii="Arial Narrow" w:hAnsi="Arial Narrow"/>
          <w:sz w:val="22"/>
        </w:rPr>
        <w:t xml:space="preserve"> (ERR) je vnútorná miera návratnosti vypočítaná pomocou ekon</w:t>
      </w:r>
      <w:r w:rsidR="00E92DA3">
        <w:rPr>
          <w:rFonts w:ascii="Arial Narrow" w:hAnsi="Arial Narrow"/>
          <w:sz w:val="22"/>
        </w:rPr>
        <w:t>o</w:t>
      </w:r>
      <w:r w:rsidRPr="00E92DA3">
        <w:rPr>
          <w:rFonts w:ascii="Arial Narrow" w:hAnsi="Arial Narrow"/>
          <w:sz w:val="22"/>
        </w:rPr>
        <w:t>mických hodnôt a vyjadrujúca sociálno-ekonomickú ziskovosť projektu.</w:t>
      </w:r>
    </w:p>
    <w:p w14:paraId="7F662072" w14:textId="0065792B" w:rsidR="00542CEE" w:rsidRPr="00E92DA3" w:rsidRDefault="00E92DA3" w:rsidP="004C46AB">
      <w:pPr>
        <w:pStyle w:val="Point0"/>
        <w:numPr>
          <w:ilvl w:val="1"/>
          <w:numId w:val="11"/>
        </w:numPr>
        <w:tabs>
          <w:tab w:val="num" w:pos="1428"/>
        </w:tabs>
        <w:rPr>
          <w:rFonts w:ascii="Arial Narrow" w:hAnsi="Arial Narrow"/>
          <w:sz w:val="22"/>
        </w:rPr>
      </w:pPr>
      <w:r w:rsidRPr="00E92DA3">
        <w:rPr>
          <w:rFonts w:ascii="Arial Narrow" w:hAnsi="Arial Narrow"/>
          <w:sz w:val="22"/>
        </w:rPr>
        <w:t xml:space="preserve">ERR by mala </w:t>
      </w:r>
      <w:r w:rsidR="00542CEE" w:rsidRPr="00E92DA3">
        <w:rPr>
          <w:rFonts w:ascii="Arial Narrow" w:hAnsi="Arial Narrow"/>
          <w:sz w:val="22"/>
        </w:rPr>
        <w:t xml:space="preserve"> byť vyššia ako sociálna diskontná sadzba. </w:t>
      </w:r>
    </w:p>
    <w:p w14:paraId="0BF7AB48" w14:textId="77777777" w:rsidR="00542CEE" w:rsidRDefault="00542CEE" w:rsidP="004C46AB">
      <w:pPr>
        <w:numPr>
          <w:ilvl w:val="0"/>
          <w:numId w:val="9"/>
        </w:numPr>
        <w:suppressAutoHyphens/>
        <w:spacing w:after="0" w:line="240" w:lineRule="auto"/>
        <w:rPr>
          <w:szCs w:val="22"/>
        </w:rPr>
      </w:pPr>
      <w:r w:rsidRPr="00542CEE">
        <w:rPr>
          <w:b/>
          <w:szCs w:val="22"/>
        </w:rPr>
        <w:t>Pomer výnosy/náklady</w:t>
      </w:r>
      <w:r w:rsidRPr="00542CEE">
        <w:rPr>
          <w:szCs w:val="22"/>
        </w:rPr>
        <w:t xml:space="preserve"> (B/C) – mal by byť vyšší ako jedna. Tento indikátor by mal v prípade projektov, kde je záujem spoločnosti použiť verejné zdroje na jeho financovanie, hodnotu väčšiu ako jedna, čo sa dá ekonomický interpretovať, že každé do projektu vložené euro prinesie výnos väčší ako jedno euro. </w:t>
      </w:r>
    </w:p>
    <w:p w14:paraId="67EAD593" w14:textId="0EB27B42" w:rsidR="00F42558" w:rsidRPr="00542CEE" w:rsidRDefault="00F42558" w:rsidP="00F42558">
      <w:pPr>
        <w:numPr>
          <w:ilvl w:val="0"/>
          <w:numId w:val="9"/>
        </w:numPr>
        <w:suppressAutoHyphens/>
        <w:spacing w:after="0" w:line="240" w:lineRule="auto"/>
        <w:rPr>
          <w:szCs w:val="22"/>
        </w:rPr>
      </w:pPr>
      <w:r w:rsidRPr="00F42558">
        <w:rPr>
          <w:b/>
          <w:szCs w:val="22"/>
        </w:rPr>
        <w:t xml:space="preserve">Kumulovaná diskontovaná návratnosť investície </w:t>
      </w:r>
      <w:r w:rsidRPr="00F42558">
        <w:rPr>
          <w:szCs w:val="22"/>
        </w:rPr>
        <w:t>(PBP) - Uvádza čas potrebný nato, aby sa náklady na elektronizáciu služieb „vrátili“ z finančných, alebo ekonomických prínosov projektu. Pre prijateľnosť projektu je dôležité, aby bola návratnosť menšia ako životnosť projektu</w:t>
      </w:r>
    </w:p>
    <w:p w14:paraId="377291FE" w14:textId="77777777" w:rsidR="00542CEE" w:rsidRPr="00542CEE" w:rsidRDefault="00542CEE" w:rsidP="00542CEE">
      <w:pPr>
        <w:rPr>
          <w:szCs w:val="22"/>
        </w:rPr>
      </w:pPr>
    </w:p>
    <w:p w14:paraId="415796E3" w14:textId="77777777" w:rsidR="00542CEE" w:rsidRPr="00542CEE" w:rsidRDefault="00542CEE" w:rsidP="00542CEE">
      <w:pPr>
        <w:rPr>
          <w:szCs w:val="22"/>
        </w:rPr>
      </w:pPr>
      <w:r w:rsidRPr="00542CEE">
        <w:rPr>
          <w:szCs w:val="22"/>
        </w:rPr>
        <w:t xml:space="preserve">ERR a pomer B/C poskytujú zaujímavé informácie, pretože sú nezávislé od veľkosti projektu. Tieto ukazovatele však môžu mať určité výpočtové nedostatky. ENPV je spoľahlivejšia a mala by sa používať ako hlavný referenčný ukazovateľ hodnotenia projektu. </w:t>
      </w:r>
    </w:p>
    <w:p w14:paraId="52FA5DF8" w14:textId="77777777" w:rsidR="00542CEE" w:rsidRPr="00542CEE" w:rsidRDefault="00542CEE" w:rsidP="00542CEE">
      <w:pPr>
        <w:rPr>
          <w:szCs w:val="22"/>
          <w:highlight w:val="yellow"/>
        </w:rPr>
      </w:pPr>
      <w:r w:rsidRPr="00542CEE">
        <w:rPr>
          <w:szCs w:val="22"/>
        </w:rPr>
        <w:t xml:space="preserve">Nie všetky sociálno-ekonomické vplyvy sa dajú vždy vyčísliť a zhodnotiť. Je to preto, že  okrem odhadu ukazovateľov výkonnosti by sa mala zohľadniť aj úvaha o nepeňažných  nákladoch a výnosoch, najmä vo vzťahu k týmto otázkam: (čistý) dosah na  zamestnanosť, ochrana životného prostredia, sociálna rovnosť a rovnaké príležitosti. </w:t>
      </w:r>
    </w:p>
    <w:p w14:paraId="4CE0D244" w14:textId="22A0678E" w:rsidR="00542CEE" w:rsidRPr="00542CEE" w:rsidRDefault="00542CEE" w:rsidP="00542CEE">
      <w:pPr>
        <w:pStyle w:val="Nadpis2"/>
      </w:pPr>
      <w:bookmarkStart w:id="15" w:name="_Toc422390674"/>
      <w:r w:rsidRPr="00542CEE">
        <w:t xml:space="preserve">Interpretácia výsledkov </w:t>
      </w:r>
      <w:proofErr w:type="spellStart"/>
      <w:r w:rsidRPr="00542CEE">
        <w:t>kriteriálnych</w:t>
      </w:r>
      <w:proofErr w:type="spellEnd"/>
      <w:r w:rsidRPr="00542CEE">
        <w:t xml:space="preserve"> ukazovateľov.</w:t>
      </w:r>
      <w:bookmarkEnd w:id="15"/>
    </w:p>
    <w:p w14:paraId="67EF5E21" w14:textId="77777777" w:rsidR="00542CEE" w:rsidRPr="00542CEE" w:rsidRDefault="00542CEE" w:rsidP="004C46AB">
      <w:pPr>
        <w:numPr>
          <w:ilvl w:val="0"/>
          <w:numId w:val="8"/>
        </w:numPr>
        <w:suppressAutoHyphens/>
        <w:spacing w:after="0" w:line="240" w:lineRule="auto"/>
      </w:pPr>
      <w:r w:rsidRPr="00542CEE">
        <w:t xml:space="preserve">Ak je výsledná hodnota ENPV vyššia ako „0“ projekt je vhodný z ekonomického hľadiska.  </w:t>
      </w:r>
    </w:p>
    <w:p w14:paraId="64FB199D" w14:textId="77777777" w:rsidR="00542CEE" w:rsidRPr="00542CEE" w:rsidRDefault="00542CEE" w:rsidP="004C46AB">
      <w:pPr>
        <w:numPr>
          <w:ilvl w:val="0"/>
          <w:numId w:val="8"/>
        </w:numPr>
        <w:suppressAutoHyphens/>
        <w:spacing w:after="0" w:line="240" w:lineRule="auto"/>
      </w:pPr>
      <w:r w:rsidRPr="00542CEE">
        <w:t xml:space="preserve">Ak je výsledná hodnota ENPV nižšia ako „0“ projekt je nie vhodný z ekonomického hľadiska.  </w:t>
      </w:r>
    </w:p>
    <w:p w14:paraId="10127F05" w14:textId="77777777" w:rsidR="00542CEE" w:rsidRPr="00542CEE" w:rsidRDefault="00542CEE" w:rsidP="004C46AB">
      <w:pPr>
        <w:numPr>
          <w:ilvl w:val="0"/>
          <w:numId w:val="8"/>
        </w:numPr>
        <w:suppressAutoHyphens/>
        <w:spacing w:after="0" w:line="240" w:lineRule="auto"/>
      </w:pPr>
      <w:r w:rsidRPr="00542CEE">
        <w:t xml:space="preserve">Ekonomická miera návratnosti by mala byť vyššia ako sociálna diskontná sadzba.  </w:t>
      </w:r>
    </w:p>
    <w:p w14:paraId="309F9445" w14:textId="77777777" w:rsidR="00542CEE" w:rsidRPr="00542CEE" w:rsidRDefault="00542CEE" w:rsidP="004C46AB">
      <w:pPr>
        <w:numPr>
          <w:ilvl w:val="0"/>
          <w:numId w:val="8"/>
        </w:numPr>
        <w:suppressAutoHyphens/>
        <w:spacing w:after="0" w:line="240" w:lineRule="auto"/>
      </w:pPr>
      <w:r w:rsidRPr="00542CEE">
        <w:t xml:space="preserve">Pomer B/C by mal byť vyšší ako 1.  </w:t>
      </w:r>
    </w:p>
    <w:p w14:paraId="7507F068" w14:textId="77777777" w:rsidR="00542CEE" w:rsidRPr="00542CEE" w:rsidRDefault="00542CEE" w:rsidP="004C46AB">
      <w:pPr>
        <w:numPr>
          <w:ilvl w:val="0"/>
          <w:numId w:val="8"/>
        </w:numPr>
        <w:suppressAutoHyphens/>
        <w:spacing w:after="0" w:line="240" w:lineRule="auto"/>
      </w:pPr>
      <w:r w:rsidRPr="00542CEE">
        <w:t xml:space="preserve">Ak ERR je menší ako sociálna diskontná sadzba, jedná sa o neprijateľný projekt. RO môže rozhodnúť o financovaní takéhoto projektu len v prípade, že prínosy projektu, ktoré nemohli byť </w:t>
      </w:r>
      <w:proofErr w:type="spellStart"/>
      <w:r w:rsidRPr="00542CEE">
        <w:t>monetarizované</w:t>
      </w:r>
      <w:proofErr w:type="spellEnd"/>
      <w:r w:rsidRPr="00542CEE">
        <w:t xml:space="preserve"> s veľmi vysokou pravdepodobnosťou prevyšujú záporné hodnoty ENPV (vo všeobecnosti však schválenie takéhoto projektu nie je odporúčané).</w:t>
      </w:r>
    </w:p>
    <w:p w14:paraId="4C9EC1B6" w14:textId="77777777" w:rsidR="00542CEE" w:rsidRPr="00542CEE" w:rsidRDefault="00542CEE" w:rsidP="004C46AB">
      <w:pPr>
        <w:numPr>
          <w:ilvl w:val="0"/>
          <w:numId w:val="8"/>
        </w:numPr>
        <w:suppressAutoHyphens/>
        <w:spacing w:after="0" w:line="240" w:lineRule="auto"/>
      </w:pPr>
      <w:r w:rsidRPr="00542CEE">
        <w:t>Ak ERR je väčšie ako sociálna diskontná sadzba, jedná sa o prijateľný projekt.</w:t>
      </w:r>
    </w:p>
    <w:p w14:paraId="7EB188D3" w14:textId="77777777" w:rsidR="00542CEE" w:rsidRPr="00542CEE" w:rsidRDefault="00542CEE" w:rsidP="00542CEE">
      <w:pPr>
        <w:suppressAutoHyphens/>
        <w:spacing w:after="0" w:line="240" w:lineRule="auto"/>
        <w:ind w:left="720"/>
      </w:pPr>
    </w:p>
    <w:p w14:paraId="06E0E451" w14:textId="017A4DBF" w:rsidR="009B0CCA" w:rsidRDefault="00542CEE" w:rsidP="00542CEE">
      <w:pPr>
        <w:rPr>
          <w:b/>
        </w:rPr>
      </w:pPr>
      <w:r w:rsidRPr="00542CEE">
        <w:rPr>
          <w:b/>
        </w:rPr>
        <w:t>ENPV je hlavný referenčný ukazovateľ hodnotenia projektu</w:t>
      </w:r>
    </w:p>
    <w:p w14:paraId="60C8D673" w14:textId="77777777" w:rsidR="00F01258" w:rsidRDefault="00F01258" w:rsidP="00542CEE">
      <w:pPr>
        <w:rPr>
          <w:b/>
        </w:rPr>
      </w:pPr>
    </w:p>
    <w:p w14:paraId="2B561E5F" w14:textId="5FEB846C" w:rsidR="00F01258" w:rsidRPr="004C1763" w:rsidRDefault="004C1763" w:rsidP="00542CEE">
      <w:pPr>
        <w:rPr>
          <w:b/>
        </w:rPr>
      </w:pPr>
      <m:oMathPara>
        <m:oMathParaPr>
          <m:jc m:val="left"/>
        </m:oMathParaPr>
        <m:oMath>
          <m:r>
            <m:rPr>
              <m:sty m:val="bi"/>
            </m:rPr>
            <w:rPr>
              <w:rFonts w:ascii="Cambria Math" w:hAnsi="Cambria Math"/>
            </w:rPr>
            <m:t xml:space="preserve">FNPV=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(1+i)</m:t>
                      </m:r>
                    </m:e>
                    <m:sup>
                      <m:r>
                        <m:rPr>
                          <m:sty m:val="bi"/>
                        </m:rPr>
                        <w:rPr>
                          <w:rFonts w:ascii="Cambria Math" w:hAnsi="Cambria Math"/>
                        </w:rPr>
                        <m:t>t</m:t>
                      </m:r>
                    </m:sup>
                  </m:sSup>
                </m:den>
              </m:f>
            </m:e>
          </m:nary>
        </m:oMath>
      </m:oMathPara>
    </w:p>
    <w:p w14:paraId="599EE8EA" w14:textId="08999D94" w:rsidR="00F01258" w:rsidRDefault="00F01258" w:rsidP="00F01258">
      <w:pPr>
        <w:spacing w:after="0"/>
      </w:pPr>
      <w:r>
        <w:t>FNPV – Finančná čistá súčasná hodnota</w:t>
      </w:r>
    </w:p>
    <w:p w14:paraId="29412E70" w14:textId="5F929C75" w:rsidR="00F01258" w:rsidRDefault="00F01258" w:rsidP="00F01258">
      <w:pPr>
        <w:spacing w:after="0"/>
      </w:pPr>
      <w:r>
        <w:t>t – časový horizont referenčného obdobia</w:t>
      </w:r>
    </w:p>
    <w:p w14:paraId="78ABC7FB" w14:textId="290AB368" w:rsidR="00F01258" w:rsidRDefault="00F01258" w:rsidP="00F01258">
      <w:pPr>
        <w:spacing w:after="0"/>
      </w:pPr>
      <w:r>
        <w:t>n – posledný rok referenčného obdobia</w:t>
      </w:r>
    </w:p>
    <w:p w14:paraId="4195C09A" w14:textId="54B72778" w:rsidR="00F01258" w:rsidRDefault="00F01258" w:rsidP="00F01258">
      <w:pPr>
        <w:spacing w:after="0"/>
      </w:pPr>
      <w:r>
        <w:t>i – referenčná diskontná sadzba</w:t>
      </w:r>
    </w:p>
    <w:p w14:paraId="4DA94F29" w14:textId="3756A7F6" w:rsidR="00F01258" w:rsidRDefault="00C067C9" w:rsidP="00542CEE">
      <m:oMath>
        <m:sSub>
          <m:sSubPr>
            <m:ctrlPr>
              <w:rPr>
                <w:rFonts w:ascii="Cambria Math" w:hAnsi="Cambria Math"/>
                <w:i/>
              </w:rPr>
            </m:ctrlPr>
          </m:sSubPr>
          <m:e>
            <m:r>
              <w:rPr>
                <w:rFonts w:ascii="Cambria Math" w:hAnsi="Cambria Math"/>
              </w:rPr>
              <m:t>S</m:t>
            </m:r>
          </m:e>
          <m:sub>
            <m:r>
              <w:rPr>
                <w:rFonts w:ascii="Cambria Math" w:hAnsi="Cambria Math"/>
              </w:rPr>
              <m:t>t</m:t>
            </m:r>
          </m:sub>
        </m:sSub>
      </m:oMath>
      <w:r w:rsidR="00650E9F">
        <w:t xml:space="preserve"> – bilancia cashflow v čase t .R</w:t>
      </w:r>
      <w:r w:rsidR="00650E9F" w:rsidRPr="00B403CD">
        <w:rPr>
          <w:szCs w:val="22"/>
        </w:rPr>
        <w:t>ozdiel očakávaných príjmov a investičných a prevádzkových výdavkov</w:t>
      </w:r>
      <w:r w:rsidR="00650E9F">
        <w:rPr>
          <w:szCs w:val="22"/>
        </w:rPr>
        <w:t xml:space="preserve">. </w:t>
      </w:r>
      <m:oMath>
        <m:sSub>
          <m:sSubPr>
            <m:ctrlPr>
              <w:rPr>
                <w:rFonts w:ascii="Cambria Math" w:hAnsi="Cambria Math"/>
                <w:i/>
                <w:szCs w:val="22"/>
              </w:rPr>
            </m:ctrlPr>
          </m:sSubPr>
          <m:e>
            <m:r>
              <w:rPr>
                <w:rFonts w:ascii="Cambria Math" w:hAnsi="Cambria Math"/>
                <w:szCs w:val="22"/>
              </w:rPr>
              <m:t>(R-C)</m:t>
            </m:r>
          </m:e>
          <m:sub>
            <m:r>
              <w:rPr>
                <w:rFonts w:ascii="Cambria Math" w:hAnsi="Cambria Math"/>
                <w:szCs w:val="22"/>
              </w:rPr>
              <m:t>t</m:t>
            </m:r>
          </m:sub>
        </m:sSub>
      </m:oMath>
      <w:r w:rsidR="00F01258">
        <w:t xml:space="preserve"> </w:t>
      </w:r>
    </w:p>
    <w:p w14:paraId="644CACB7" w14:textId="77777777" w:rsidR="00F01258" w:rsidRDefault="00F01258" w:rsidP="00542CEE"/>
    <w:p w14:paraId="083EF8DB" w14:textId="20BC9D50" w:rsidR="00F01258" w:rsidRPr="004C1763" w:rsidRDefault="00650E9F" w:rsidP="00542CEE">
      <w:pPr>
        <w:rPr>
          <w:b/>
          <w:i/>
        </w:rPr>
      </w:pPr>
      <w:r w:rsidRPr="004C1763">
        <w:rPr>
          <w:b/>
          <w:i/>
        </w:rPr>
        <w:t>ENPV = B – C</w:t>
      </w:r>
    </w:p>
    <w:p w14:paraId="590DE42C" w14:textId="0323DAA9" w:rsidR="00650E9F" w:rsidRDefault="00650E9F" w:rsidP="00542CEE">
      <w:r w:rsidRPr="00650E9F">
        <w:t>Pričom</w:t>
      </w:r>
      <w:r>
        <w:t>:</w:t>
      </w:r>
    </w:p>
    <w:p w14:paraId="130D5FE0" w14:textId="67A099A9" w:rsidR="00650E9F" w:rsidRPr="004C1763" w:rsidRDefault="004C1763" w:rsidP="00542CEE">
      <w:pPr>
        <w:rPr>
          <w:b/>
        </w:rPr>
      </w:pPr>
      <m:oMathPara>
        <m:oMathParaPr>
          <m:jc m:val="left"/>
        </m:oMathParaPr>
        <m:oMath>
          <m:r>
            <m:rPr>
              <m:sty m:val="bi"/>
            </m:rPr>
            <w:rPr>
              <w:rFonts w:ascii="Cambria Math" w:hAnsi="Cambria Math"/>
            </w:rPr>
            <m:t xml:space="preserve">B=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(1+r)</m:t>
                      </m:r>
                    </m:e>
                    <m:sup>
                      <m:r>
                        <m:rPr>
                          <m:sty m:val="bi"/>
                        </m:rPr>
                        <w:rPr>
                          <w:rFonts w:ascii="Cambria Math" w:hAnsi="Cambria Math"/>
                        </w:rPr>
                        <m:t>t</m:t>
                      </m:r>
                    </m:sup>
                  </m:sSup>
                </m:den>
              </m:f>
            </m:e>
          </m:nary>
        </m:oMath>
      </m:oMathPara>
    </w:p>
    <w:p w14:paraId="7EEBC4B3" w14:textId="36F358A7" w:rsidR="00650E9F" w:rsidRPr="00650E9F" w:rsidRDefault="004C1763" w:rsidP="00542CEE">
      <w:pPr>
        <w:rPr>
          <w:i/>
        </w:rPr>
      </w:pPr>
      <m:oMathPara>
        <m:oMathParaPr>
          <m:jc m:val="left"/>
        </m:oMathParaPr>
        <m:oMath>
          <m:r>
            <m:rPr>
              <m:sty m:val="bi"/>
            </m:rPr>
            <w:rPr>
              <w:rFonts w:ascii="Cambria Math" w:hAnsi="Cambria Math"/>
            </w:rPr>
            <m:t xml:space="preserve">C=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(1+r)</m:t>
                      </m:r>
                    </m:e>
                    <m:sup>
                      <m:r>
                        <m:rPr>
                          <m:sty m:val="bi"/>
                        </m:rPr>
                        <w:rPr>
                          <w:rFonts w:ascii="Cambria Math" w:hAnsi="Cambria Math"/>
                        </w:rPr>
                        <m:t>t</m:t>
                      </m:r>
                    </m:sup>
                  </m:sSup>
                </m:den>
              </m:f>
            </m:e>
          </m:nary>
        </m:oMath>
      </m:oMathPara>
    </w:p>
    <w:p w14:paraId="1D47572A" w14:textId="77777777" w:rsidR="00650E9F" w:rsidRDefault="00650E9F" w:rsidP="00650E9F">
      <w:pPr>
        <w:spacing w:after="0"/>
      </w:pPr>
      <w:r>
        <w:t>ENPV – Ekonomická čistá súčasná hodnota</w:t>
      </w:r>
    </w:p>
    <w:p w14:paraId="59BF62BE" w14:textId="77777777" w:rsidR="00650E9F" w:rsidRDefault="00650E9F" w:rsidP="00650E9F">
      <w:pPr>
        <w:spacing w:after="0"/>
      </w:pPr>
      <w:r>
        <w:t>t – časový horizont referenčného obdobia</w:t>
      </w:r>
    </w:p>
    <w:p w14:paraId="1E3BEAD7" w14:textId="77777777" w:rsidR="00650E9F" w:rsidRDefault="00650E9F" w:rsidP="00650E9F">
      <w:pPr>
        <w:spacing w:after="0"/>
      </w:pPr>
      <w:r>
        <w:t>n – posledný rok referenčného obdobia</w:t>
      </w:r>
    </w:p>
    <w:p w14:paraId="7460625F" w14:textId="23185D20" w:rsidR="004C1763" w:rsidRDefault="004C1763" w:rsidP="00650E9F">
      <w:pPr>
        <w:spacing w:after="0"/>
      </w:pPr>
      <w:r>
        <w:t xml:space="preserve">r - </w:t>
      </w:r>
      <w:r w:rsidRPr="004C1763">
        <w:t>Hodnota pre sociálnu diskontnú sadzbu je pre Slovenskú republiku 5,0 %. Sociálna diskontná sadzby ako referenčná hodnota sa musí dôsledne uplatňovať vo všetkých projektoch</w:t>
      </w:r>
    </w:p>
    <w:p w14:paraId="259CF401" w14:textId="5E807BC5" w:rsidR="00650E9F" w:rsidRDefault="00650E9F" w:rsidP="00650E9F">
      <w:pPr>
        <w:spacing w:after="0"/>
      </w:pPr>
      <w:r>
        <w:t>C – celkové náklady (investičné a prevádzkové)</w:t>
      </w:r>
    </w:p>
    <w:p w14:paraId="19B73603" w14:textId="05091139" w:rsidR="00E52A4B" w:rsidRDefault="00E52A4B" w:rsidP="00E52A4B">
      <w:pPr>
        <w:spacing w:after="0"/>
      </w:pPr>
      <w:proofErr w:type="spellStart"/>
      <w:r>
        <w:t>C</w:t>
      </w:r>
      <w:r>
        <w:rPr>
          <w:vertAlign w:val="subscript"/>
        </w:rPr>
        <w:t>t</w:t>
      </w:r>
      <w:proofErr w:type="spellEnd"/>
      <w:r>
        <w:t xml:space="preserve"> – náklady v čase t (investičné a prevádzkové) </w:t>
      </w:r>
    </w:p>
    <w:p w14:paraId="010BAB8E" w14:textId="0DFEB938" w:rsidR="00650E9F" w:rsidRDefault="00650E9F" w:rsidP="00650E9F">
      <w:pPr>
        <w:spacing w:after="0"/>
      </w:pPr>
      <w:r>
        <w:t>B – celkové prínosy (ekonomické aj finančné)</w:t>
      </w:r>
    </w:p>
    <w:p w14:paraId="47E661E4" w14:textId="77777777" w:rsidR="00E52A4B" w:rsidRDefault="00E52A4B" w:rsidP="00650E9F">
      <w:pPr>
        <w:spacing w:after="0"/>
      </w:pPr>
    </w:p>
    <w:p w14:paraId="0014501F" w14:textId="77777777" w:rsidR="00650E9F" w:rsidRDefault="00650E9F" w:rsidP="00650E9F">
      <w:pPr>
        <w:spacing w:after="0"/>
      </w:pPr>
    </w:p>
    <w:p w14:paraId="1C829CA0" w14:textId="77777777" w:rsidR="00650E9F" w:rsidRDefault="00650E9F" w:rsidP="00650E9F"/>
    <w:p w14:paraId="2ED68C9F" w14:textId="77777777" w:rsidR="00145104" w:rsidRPr="009B6CE7" w:rsidRDefault="00145104" w:rsidP="00145104"/>
    <w:p w14:paraId="06E3C977" w14:textId="77777777" w:rsidR="00473EC5" w:rsidRDefault="00473EC5" w:rsidP="0071264A"/>
    <w:p w14:paraId="00BB1ED6" w14:textId="77777777" w:rsidR="00FF62B9" w:rsidRDefault="00FF62B9" w:rsidP="0071264A">
      <w:pPr>
        <w:sectPr w:rsidR="00FF62B9" w:rsidSect="00F80C77">
          <w:pgSz w:w="11906" w:h="16838"/>
          <w:pgMar w:top="1417" w:right="1417" w:bottom="1417" w:left="1417" w:header="708" w:footer="708" w:gutter="0"/>
          <w:cols w:space="708"/>
          <w:docGrid w:linePitch="360"/>
        </w:sectPr>
      </w:pPr>
    </w:p>
    <w:p w14:paraId="267B8F8C" w14:textId="196F3302" w:rsidR="00FA6007" w:rsidRDefault="00FA6007" w:rsidP="009B6CE7">
      <w:pPr>
        <w:pStyle w:val="Nadpis2"/>
      </w:pPr>
      <w:bookmarkStart w:id="16" w:name="_Toc400614541"/>
      <w:bookmarkStart w:id="17" w:name="_Toc400619727"/>
      <w:bookmarkStart w:id="18" w:name="_Toc400568947"/>
      <w:bookmarkStart w:id="19" w:name="_Toc400570026"/>
      <w:bookmarkStart w:id="20" w:name="_Toc400614551"/>
      <w:bookmarkStart w:id="21" w:name="_Toc400619737"/>
      <w:bookmarkStart w:id="22" w:name="_Toc422390675"/>
      <w:bookmarkEnd w:id="16"/>
      <w:bookmarkEnd w:id="17"/>
      <w:bookmarkEnd w:id="18"/>
      <w:bookmarkEnd w:id="19"/>
      <w:bookmarkEnd w:id="20"/>
      <w:bookmarkEnd w:id="21"/>
      <w:r>
        <w:t>Faktory</w:t>
      </w:r>
      <w:bookmarkEnd w:id="22"/>
    </w:p>
    <w:tbl>
      <w:tblPr>
        <w:tblStyle w:val="GridTable6Colorful-Accent31"/>
        <w:tblW w:w="5000" w:type="pct"/>
        <w:tblLook w:val="04A0" w:firstRow="1" w:lastRow="0" w:firstColumn="1" w:lastColumn="0" w:noHBand="0" w:noVBand="1"/>
      </w:tblPr>
      <w:tblGrid>
        <w:gridCol w:w="2179"/>
        <w:gridCol w:w="8796"/>
        <w:gridCol w:w="3245"/>
      </w:tblGrid>
      <w:tr w:rsidR="00FA6007" w:rsidRPr="003A4E09" w14:paraId="0F3CE9DD" w14:textId="77777777" w:rsidTr="00FA600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66"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3597968F" w14:textId="545EA60A" w:rsidR="00FA6007" w:rsidRPr="0071264A" w:rsidRDefault="00FA6007" w:rsidP="00FA6007">
            <w:pPr>
              <w:jc w:val="left"/>
              <w:rPr>
                <w:color w:val="auto"/>
              </w:rPr>
            </w:pPr>
            <w:r>
              <w:rPr>
                <w:color w:val="auto"/>
              </w:rPr>
              <w:t>Názov</w:t>
            </w:r>
          </w:p>
        </w:tc>
        <w:tc>
          <w:tcPr>
            <w:tcW w:w="3093" w:type="pct"/>
            <w:tcBorders>
              <w:top w:val="single" w:sz="18" w:space="0" w:color="auto"/>
              <w:bottom w:val="single" w:sz="18" w:space="0" w:color="auto"/>
              <w:right w:val="single" w:sz="4" w:space="0" w:color="auto"/>
            </w:tcBorders>
            <w:shd w:val="clear" w:color="auto" w:fill="A6A6A6" w:themeFill="background1" w:themeFillShade="A6"/>
          </w:tcPr>
          <w:p w14:paraId="7203298C" w14:textId="77777777" w:rsidR="00FA6007" w:rsidRPr="0071264A" w:rsidRDefault="00FA6007" w:rsidP="00FA6007">
            <w:pPr>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1141" w:type="pct"/>
            <w:tcBorders>
              <w:top w:val="single" w:sz="18" w:space="0" w:color="auto"/>
              <w:bottom w:val="single" w:sz="18" w:space="0" w:color="auto"/>
              <w:right w:val="single" w:sz="18" w:space="0" w:color="auto"/>
            </w:tcBorders>
            <w:shd w:val="clear" w:color="auto" w:fill="A6A6A6" w:themeFill="background1" w:themeFillShade="A6"/>
          </w:tcPr>
          <w:p w14:paraId="7E5DD8CA" w14:textId="02E1F124" w:rsidR="00FA6007" w:rsidRDefault="00FA6007" w:rsidP="00FA6007">
            <w:pPr>
              <w:cnfStyle w:val="100000000000" w:firstRow="1" w:lastRow="0" w:firstColumn="0" w:lastColumn="0" w:oddVBand="0" w:evenVBand="0" w:oddHBand="0" w:evenHBand="0" w:firstRowFirstColumn="0" w:firstRowLastColumn="0" w:lastRowFirstColumn="0" w:lastRowLastColumn="0"/>
            </w:pPr>
            <w:r>
              <w:rPr>
                <w:color w:val="auto"/>
              </w:rPr>
              <w:t>Hodnota</w:t>
            </w:r>
          </w:p>
        </w:tc>
      </w:tr>
      <w:tr w:rsidR="00FA6007" w14:paraId="262E156F" w14:textId="77777777" w:rsidTr="00FA60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1C0893C4" w14:textId="166EB862" w:rsidR="00FA6007" w:rsidRPr="00FA6007" w:rsidRDefault="00FA6007" w:rsidP="00FA6007">
            <w:pPr>
              <w:jc w:val="left"/>
              <w:rPr>
                <w:b w:val="0"/>
              </w:rPr>
            </w:pPr>
            <w:r w:rsidRPr="00FA6007">
              <w:rPr>
                <w:b w:val="0"/>
                <w:color w:val="auto"/>
              </w:rPr>
              <w:t>Životnosť projektu (t)</w:t>
            </w:r>
          </w:p>
        </w:tc>
        <w:tc>
          <w:tcPr>
            <w:tcW w:w="3093" w:type="pct"/>
            <w:tcBorders>
              <w:top w:val="single" w:sz="18" w:space="0" w:color="auto"/>
              <w:bottom w:val="single" w:sz="4" w:space="0" w:color="auto"/>
              <w:right w:val="single" w:sz="4" w:space="0" w:color="auto"/>
            </w:tcBorders>
          </w:tcPr>
          <w:p w14:paraId="3C43FB0C" w14:textId="4F32AE08" w:rsidR="00FA6007" w:rsidRPr="00FC1065" w:rsidRDefault="00FA6007" w:rsidP="00FA6007">
            <w:pPr>
              <w:cnfStyle w:val="000000100000" w:firstRow="0" w:lastRow="0" w:firstColumn="0" w:lastColumn="0" w:oddVBand="0" w:evenVBand="0" w:oddHBand="1" w:evenHBand="0" w:firstRowFirstColumn="0" w:firstRowLastColumn="0" w:lastRowFirstColumn="0" w:lastRowLastColumn="0"/>
              <w:rPr>
                <w:color w:val="auto"/>
              </w:rPr>
            </w:pPr>
            <w:r w:rsidRPr="00FA6007">
              <w:rPr>
                <w:color w:val="auto"/>
              </w:rPr>
              <w:t>Referenčné obdobie je počet rokov, na ktorý sa vo finančnej analýze (analýze nákladov a výnosov) uvádzajú predpovede. Predpovede týkajúce sa budúceho trendu projektu by sa mali formulovať na obdobie, ktoré je primerané jeho ekonomicky užitočnému trvaniu a ktoré je dosť dlhé na to, aby zahŕňalo jeho pravdepodobné dlhodobejšie dosahy. Ide o časové obdobie, kedy je možné overiť úspešnosť investície. Trvanie sa mení podľa povahy investície. Referenčný časový horizont v rokoch podľa sektorov je uvedený podľa prílohy 1 Delegovaného nariadenia Komisie (EÚ) 480/2014 z 3. marca 2014, ktorým sa dopĺňa všeobecné nariadenie.</w:t>
            </w:r>
          </w:p>
        </w:tc>
        <w:tc>
          <w:tcPr>
            <w:tcW w:w="1141" w:type="pct"/>
            <w:tcBorders>
              <w:top w:val="single" w:sz="18" w:space="0" w:color="auto"/>
              <w:bottom w:val="single" w:sz="4" w:space="0" w:color="auto"/>
              <w:right w:val="single" w:sz="4" w:space="0" w:color="auto"/>
            </w:tcBorders>
          </w:tcPr>
          <w:p w14:paraId="1702D37A" w14:textId="3498D53F" w:rsidR="00FA6007" w:rsidRPr="00FA6007" w:rsidRDefault="00FA6007" w:rsidP="00092176">
            <w:pPr>
              <w:cnfStyle w:val="000000100000" w:firstRow="0" w:lastRow="0" w:firstColumn="0" w:lastColumn="0" w:oddVBand="0" w:evenVBand="0" w:oddHBand="1" w:evenHBand="0" w:firstRowFirstColumn="0" w:firstRowLastColumn="0" w:lastRowFirstColumn="0" w:lastRowLastColumn="0"/>
              <w:rPr>
                <w:b/>
              </w:rPr>
            </w:pPr>
            <w:r w:rsidRPr="00FA6007">
              <w:rPr>
                <w:b/>
                <w:color w:val="auto"/>
              </w:rPr>
              <w:t>10 rokov</w:t>
            </w:r>
          </w:p>
        </w:tc>
      </w:tr>
      <w:tr w:rsidR="00FA6007" w14:paraId="00E74BAA" w14:textId="77777777" w:rsidTr="00FA6007">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2BCE85BF" w14:textId="29E18834" w:rsidR="00FA6007" w:rsidRPr="00FA6007" w:rsidRDefault="00FA6007" w:rsidP="00FA6007">
            <w:pPr>
              <w:jc w:val="left"/>
              <w:rPr>
                <w:b w:val="0"/>
                <w:color w:val="auto"/>
              </w:rPr>
            </w:pPr>
            <w:r>
              <w:rPr>
                <w:b w:val="0"/>
                <w:color w:val="auto"/>
              </w:rPr>
              <w:t>Referenčná d</w:t>
            </w:r>
            <w:r w:rsidRPr="00FA6007">
              <w:rPr>
                <w:b w:val="0"/>
                <w:color w:val="auto"/>
              </w:rPr>
              <w:t>iskontná sadzba (</w:t>
            </w:r>
            <w:r>
              <w:rPr>
                <w:b w:val="0"/>
                <w:color w:val="auto"/>
              </w:rPr>
              <w:t>i</w:t>
            </w:r>
            <w:r w:rsidRPr="00FA6007">
              <w:rPr>
                <w:b w:val="0"/>
                <w:color w:val="auto"/>
              </w:rPr>
              <w:t>)</w:t>
            </w:r>
          </w:p>
        </w:tc>
        <w:tc>
          <w:tcPr>
            <w:tcW w:w="3093" w:type="pct"/>
            <w:tcBorders>
              <w:top w:val="single" w:sz="4" w:space="0" w:color="auto"/>
              <w:bottom w:val="single" w:sz="4" w:space="0" w:color="auto"/>
              <w:right w:val="single" w:sz="4" w:space="0" w:color="auto"/>
            </w:tcBorders>
          </w:tcPr>
          <w:p w14:paraId="3FB0B6D3" w14:textId="77777777" w:rsidR="00FA6007" w:rsidRPr="00FA6007" w:rsidRDefault="00FA6007" w:rsidP="00FA6007">
            <w:pPr>
              <w:cnfStyle w:val="000000000000" w:firstRow="0" w:lastRow="0" w:firstColumn="0" w:lastColumn="0" w:oddVBand="0" w:evenVBand="0" w:oddHBand="0" w:evenHBand="0" w:firstRowFirstColumn="0" w:firstRowLastColumn="0" w:lastRowFirstColumn="0" w:lastRowLastColumn="0"/>
              <w:rPr>
                <w:color w:val="auto"/>
              </w:rPr>
            </w:pPr>
            <w:r w:rsidRPr="00FA6007">
              <w:rPr>
                <w:color w:val="auto"/>
              </w:rPr>
              <w:t xml:space="preserve">Diskontná sadzba, ktorá sa má používať vo finančnej analýze má informovať investora o alternatívnych kapitálových nákladoch. Môže sa za ňu považovať </w:t>
            </w:r>
            <w:proofErr w:type="spellStart"/>
            <w:r w:rsidRPr="00FA6007">
              <w:rPr>
                <w:color w:val="auto"/>
              </w:rPr>
              <w:t>ušlý</w:t>
            </w:r>
            <w:proofErr w:type="spellEnd"/>
            <w:r w:rsidRPr="00FA6007">
              <w:rPr>
                <w:color w:val="auto"/>
              </w:rPr>
              <w:t xml:space="preserve"> výnos najlepšieho alternatívneho projektu.</w:t>
            </w:r>
          </w:p>
          <w:p w14:paraId="2CEDC6A1" w14:textId="5798A168" w:rsidR="00FA6007" w:rsidRPr="00FC1065" w:rsidRDefault="00FA6007" w:rsidP="00FA6007">
            <w:pPr>
              <w:cnfStyle w:val="000000000000" w:firstRow="0" w:lastRow="0" w:firstColumn="0" w:lastColumn="0" w:oddVBand="0" w:evenVBand="0" w:oddHBand="0" w:evenHBand="0" w:firstRowFirstColumn="0" w:firstRowLastColumn="0" w:lastRowFirstColumn="0" w:lastRowLastColumn="0"/>
            </w:pPr>
            <w:r w:rsidRPr="00FA6007">
              <w:rPr>
                <w:color w:val="auto"/>
              </w:rPr>
              <w:t>V prípade verejných investičných projektov spolufinancovaných z fondov sa stanovuje 4 % finančná diskontná sadzbu pre výpočet čistej súčasnej hodnoty investície v stálych cenách roku predloženia žiadosti o NFP.</w:t>
            </w:r>
          </w:p>
        </w:tc>
        <w:tc>
          <w:tcPr>
            <w:tcW w:w="1141" w:type="pct"/>
            <w:tcBorders>
              <w:top w:val="single" w:sz="4" w:space="0" w:color="auto"/>
              <w:bottom w:val="single" w:sz="4" w:space="0" w:color="auto"/>
              <w:right w:val="single" w:sz="4" w:space="0" w:color="auto"/>
            </w:tcBorders>
          </w:tcPr>
          <w:p w14:paraId="38E9EAF3" w14:textId="14DBB006" w:rsidR="00FA6007" w:rsidRPr="00FA6007" w:rsidRDefault="00FA6007" w:rsidP="00FA6007">
            <w:pPr>
              <w:cnfStyle w:val="000000000000" w:firstRow="0" w:lastRow="0" w:firstColumn="0" w:lastColumn="0" w:oddVBand="0" w:evenVBand="0" w:oddHBand="0" w:evenHBand="0" w:firstRowFirstColumn="0" w:firstRowLastColumn="0" w:lastRowFirstColumn="0" w:lastRowLastColumn="0"/>
              <w:rPr>
                <w:b/>
                <w:lang w:val="en-US"/>
              </w:rPr>
            </w:pPr>
            <w:r w:rsidRPr="00FA6007">
              <w:rPr>
                <w:b/>
                <w:color w:val="auto"/>
              </w:rPr>
              <w:t>4</w:t>
            </w:r>
            <w:r w:rsidRPr="00FA6007">
              <w:rPr>
                <w:b/>
                <w:color w:val="auto"/>
                <w:lang w:val="en-US"/>
              </w:rPr>
              <w:t>%</w:t>
            </w:r>
          </w:p>
        </w:tc>
      </w:tr>
      <w:tr w:rsidR="00FA6007" w14:paraId="1EDB3635" w14:textId="77777777" w:rsidTr="00FA60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2A3E8B40" w14:textId="6BDE913C" w:rsidR="00FA6007" w:rsidRPr="00FA6007" w:rsidRDefault="00FA6007" w:rsidP="00FA6007">
            <w:pPr>
              <w:jc w:val="left"/>
            </w:pPr>
            <w:r>
              <w:rPr>
                <w:b w:val="0"/>
                <w:color w:val="auto"/>
              </w:rPr>
              <w:t>Sociálna d</w:t>
            </w:r>
            <w:r w:rsidRPr="00FA6007">
              <w:rPr>
                <w:b w:val="0"/>
                <w:color w:val="auto"/>
              </w:rPr>
              <w:t>iskontná sadzba (</w:t>
            </w:r>
            <w:r>
              <w:rPr>
                <w:b w:val="0"/>
                <w:color w:val="auto"/>
              </w:rPr>
              <w:t>r</w:t>
            </w:r>
            <w:r w:rsidRPr="00FA6007">
              <w:rPr>
                <w:b w:val="0"/>
                <w:color w:val="auto"/>
              </w:rPr>
              <w:t>)</w:t>
            </w:r>
          </w:p>
        </w:tc>
        <w:tc>
          <w:tcPr>
            <w:tcW w:w="3093" w:type="pct"/>
            <w:tcBorders>
              <w:top w:val="single" w:sz="4" w:space="0" w:color="auto"/>
              <w:bottom w:val="single" w:sz="4" w:space="0" w:color="auto"/>
              <w:right w:val="single" w:sz="4" w:space="0" w:color="auto"/>
            </w:tcBorders>
          </w:tcPr>
          <w:p w14:paraId="2EA76BB6" w14:textId="77777777" w:rsidR="00FA6007" w:rsidRDefault="00544D23" w:rsidP="00FA6007">
            <w:pPr>
              <w:cnfStyle w:val="000000100000" w:firstRow="0" w:lastRow="0" w:firstColumn="0" w:lastColumn="0" w:oddVBand="0" w:evenVBand="0" w:oddHBand="1" w:evenHBand="0" w:firstRowFirstColumn="0" w:firstRowLastColumn="0" w:lastRowFirstColumn="0" w:lastRowLastColumn="0"/>
              <w:rPr>
                <w:color w:val="auto"/>
              </w:rPr>
            </w:pPr>
            <w:r w:rsidRPr="00544D23">
              <w:rPr>
                <w:color w:val="auto"/>
              </w:rPr>
              <w:t>Cieľom CBA je preukázať pri štrukturálne významných investíciách, že ekonomická čistá súčasná hodnota za dané obdobie a pri stanovenej sociálnej diskontnej sadzbe je kladná.</w:t>
            </w:r>
          </w:p>
          <w:p w14:paraId="3C70DF75" w14:textId="39D17B5C" w:rsidR="00544D23" w:rsidRPr="00FC1065" w:rsidRDefault="00544D23" w:rsidP="00FA6007">
            <w:pPr>
              <w:cnfStyle w:val="000000100000" w:firstRow="0" w:lastRow="0" w:firstColumn="0" w:lastColumn="0" w:oddVBand="0" w:evenVBand="0" w:oddHBand="1" w:evenHBand="0" w:firstRowFirstColumn="0" w:firstRowLastColumn="0" w:lastRowFirstColumn="0" w:lastRowLastColumn="0"/>
            </w:pPr>
            <w:r w:rsidRPr="00544D23">
              <w:rPr>
                <w:color w:val="auto"/>
              </w:rPr>
              <w:t>Diskontovanie odhadovaných nákladov a prínosov: keď sa odhadne tok ekonomických nákladov a prínosov, mala by sa uplatniť štandardná diskontovaná metodika peňažného toku pomocou sociálnej diskontnej sadzby</w:t>
            </w:r>
          </w:p>
        </w:tc>
        <w:tc>
          <w:tcPr>
            <w:tcW w:w="1141" w:type="pct"/>
            <w:tcBorders>
              <w:top w:val="single" w:sz="4" w:space="0" w:color="auto"/>
              <w:bottom w:val="single" w:sz="4" w:space="0" w:color="auto"/>
              <w:right w:val="single" w:sz="4" w:space="0" w:color="auto"/>
            </w:tcBorders>
          </w:tcPr>
          <w:p w14:paraId="513950BD" w14:textId="36D32D53" w:rsidR="00FA6007" w:rsidRPr="00544D23" w:rsidRDefault="00544D23" w:rsidP="00544D23">
            <w:pPr>
              <w:cnfStyle w:val="000000100000" w:firstRow="0" w:lastRow="0" w:firstColumn="0" w:lastColumn="0" w:oddVBand="0" w:evenVBand="0" w:oddHBand="1" w:evenHBand="0" w:firstRowFirstColumn="0" w:firstRowLastColumn="0" w:lastRowFirstColumn="0" w:lastRowLastColumn="0"/>
              <w:rPr>
                <w:b/>
              </w:rPr>
            </w:pPr>
            <w:r w:rsidRPr="00544D23">
              <w:rPr>
                <w:b/>
                <w:color w:val="auto"/>
              </w:rPr>
              <w:t>5%</w:t>
            </w:r>
          </w:p>
        </w:tc>
      </w:tr>
      <w:tr w:rsidR="00FA6007" w14:paraId="3608AB5B" w14:textId="77777777" w:rsidTr="00FA6007">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44FDCCF0" w14:textId="3F604FC9" w:rsidR="00FA6007" w:rsidRPr="00FA6007" w:rsidRDefault="00FA6007" w:rsidP="00FA6007">
            <w:pPr>
              <w:jc w:val="left"/>
              <w:rPr>
                <w:b w:val="0"/>
                <w:color w:val="auto"/>
              </w:rPr>
            </w:pPr>
            <w:r w:rsidRPr="00FA6007">
              <w:rPr>
                <w:b w:val="0"/>
                <w:color w:val="auto"/>
              </w:rPr>
              <w:t>Osobné náklady (</w:t>
            </w:r>
            <w:proofErr w:type="spellStart"/>
            <w:r w:rsidRPr="00FA6007">
              <w:rPr>
                <w:b w:val="0"/>
                <w:color w:val="auto"/>
              </w:rPr>
              <w:t>Cper</w:t>
            </w:r>
            <w:proofErr w:type="spellEnd"/>
            <w:r w:rsidRPr="00FA6007">
              <w:rPr>
                <w:b w:val="0"/>
                <w:color w:val="auto"/>
              </w:rPr>
              <w:t>)</w:t>
            </w:r>
          </w:p>
        </w:tc>
        <w:tc>
          <w:tcPr>
            <w:tcW w:w="3093" w:type="pct"/>
            <w:tcBorders>
              <w:top w:val="single" w:sz="4" w:space="0" w:color="auto"/>
              <w:bottom w:val="single" w:sz="4" w:space="0" w:color="auto"/>
              <w:right w:val="single" w:sz="4" w:space="0" w:color="auto"/>
            </w:tcBorders>
          </w:tcPr>
          <w:p w14:paraId="65F06A0B" w14:textId="10AD595E" w:rsidR="00544D23" w:rsidRPr="00544D23" w:rsidRDefault="00544D23" w:rsidP="00544D23">
            <w:pPr>
              <w:cnfStyle w:val="000000000000" w:firstRow="0" w:lastRow="0" w:firstColumn="0" w:lastColumn="0" w:oddVBand="0" w:evenVBand="0" w:oddHBand="0" w:evenHBand="0" w:firstRowFirstColumn="0" w:firstRowLastColumn="0" w:lastRowFirstColumn="0" w:lastRowLastColumn="0"/>
              <w:rPr>
                <w:color w:val="auto"/>
              </w:rPr>
            </w:pPr>
            <w:r w:rsidRPr="00544D23">
              <w:rPr>
                <w:color w:val="auto"/>
              </w:rPr>
              <w:t>Cper=(</w:t>
            </w:r>
            <w:r w:rsidR="00E81E76">
              <w:rPr>
                <w:color w:val="auto"/>
              </w:rPr>
              <w:t>1011</w:t>
            </w:r>
            <w:r w:rsidRPr="00544D23">
              <w:rPr>
                <w:color w:val="auto"/>
              </w:rPr>
              <w:t xml:space="preserve">*1,358)/160, pričom </w:t>
            </w:r>
            <w:r w:rsidR="00E81E76">
              <w:rPr>
                <w:color w:val="auto"/>
              </w:rPr>
              <w:t>1373</w:t>
            </w:r>
            <w:r w:rsidRPr="00544D23">
              <w:rPr>
                <w:color w:val="auto"/>
              </w:rPr>
              <w:t xml:space="preserve"> EUR  je priemerná hrubá mzda vo verejnej správe za 3. štvrťrok 20</w:t>
            </w:r>
            <w:r w:rsidR="00E81E76">
              <w:rPr>
                <w:color w:val="auto"/>
              </w:rPr>
              <w:t>14</w:t>
            </w:r>
            <w:r w:rsidRPr="00544D23">
              <w:rPr>
                <w:color w:val="auto"/>
              </w:rPr>
              <w:t xml:space="preserve">  (zdroj:</w:t>
            </w:r>
            <w:r w:rsidR="00E81E76">
              <w:rPr>
                <w:color w:val="auto"/>
              </w:rPr>
              <w:t xml:space="preserve"> </w:t>
            </w:r>
            <w:hyperlink r:id="rId16" w:history="1">
              <w:r w:rsidR="00E81E76" w:rsidRPr="00E81E76">
                <w:rPr>
                  <w:rStyle w:val="Hypertextovprepojenie"/>
                </w:rPr>
                <w:t>Priemerná mesačná mzda podľa odvetví [pr0205qs]</w:t>
              </w:r>
            </w:hyperlink>
            <w:r w:rsidR="00E81E76">
              <w:rPr>
                <w:color w:val="auto"/>
              </w:rPr>
              <w:t xml:space="preserve"> </w:t>
            </w:r>
            <w:r w:rsidRPr="00544D23">
              <w:rPr>
                <w:color w:val="auto"/>
              </w:rPr>
              <w:t xml:space="preserve">). Odvody (SP, ZP, SF) sú 35,8%. Fond pracovnej doby na 1 mesiac je 160 hodín (čas na prestávku nie je započítaný).  </w:t>
            </w:r>
          </w:p>
          <w:p w14:paraId="57ABF618" w14:textId="532114F1" w:rsidR="00FA6007" w:rsidRPr="00FC1065" w:rsidRDefault="00544D23" w:rsidP="00544D23">
            <w:pPr>
              <w:cnfStyle w:val="000000000000" w:firstRow="0" w:lastRow="0" w:firstColumn="0" w:lastColumn="0" w:oddVBand="0" w:evenVBand="0" w:oddHBand="0" w:evenHBand="0" w:firstRowFirstColumn="0" w:firstRowLastColumn="0" w:lastRowFirstColumn="0" w:lastRowLastColumn="0"/>
            </w:pPr>
            <w:r w:rsidRPr="00544D23">
              <w:rPr>
                <w:color w:val="auto"/>
              </w:rPr>
              <w:t>Osobné náklady sú faktorom prevádzkových variabilných nákladov.</w:t>
            </w:r>
            <w:r>
              <w:t xml:space="preserve">  </w:t>
            </w:r>
          </w:p>
        </w:tc>
        <w:tc>
          <w:tcPr>
            <w:tcW w:w="1141" w:type="pct"/>
            <w:tcBorders>
              <w:top w:val="single" w:sz="4" w:space="0" w:color="auto"/>
              <w:bottom w:val="single" w:sz="4" w:space="0" w:color="auto"/>
              <w:right w:val="single" w:sz="4" w:space="0" w:color="auto"/>
            </w:tcBorders>
          </w:tcPr>
          <w:p w14:paraId="7B0CD307" w14:textId="52C59A67" w:rsidR="00FA6007" w:rsidRDefault="00E81E76" w:rsidP="00E81E76">
            <w:pPr>
              <w:cnfStyle w:val="000000000000" w:firstRow="0" w:lastRow="0" w:firstColumn="0" w:lastColumn="0" w:oddVBand="0" w:evenVBand="0" w:oddHBand="0" w:evenHBand="0" w:firstRowFirstColumn="0" w:firstRowLastColumn="0" w:lastRowFirstColumn="0" w:lastRowLastColumn="0"/>
            </w:pPr>
            <w:r>
              <w:rPr>
                <w:b/>
                <w:color w:val="auto"/>
              </w:rPr>
              <w:t>8</w:t>
            </w:r>
            <w:r w:rsidR="00544D23" w:rsidRPr="00544D23">
              <w:rPr>
                <w:b/>
                <w:color w:val="auto"/>
              </w:rPr>
              <w:t>,</w:t>
            </w:r>
            <w:r>
              <w:rPr>
                <w:b/>
                <w:color w:val="auto"/>
              </w:rPr>
              <w:t>58</w:t>
            </w:r>
            <w:r w:rsidR="00544D23" w:rsidRPr="00544D23">
              <w:rPr>
                <w:b/>
                <w:color w:val="auto"/>
              </w:rPr>
              <w:t xml:space="preserve"> EUR/hod (VS)</w:t>
            </w:r>
            <w:r w:rsidR="00544D23" w:rsidRPr="00544D23">
              <w:t xml:space="preserve">  </w:t>
            </w:r>
          </w:p>
        </w:tc>
      </w:tr>
      <w:tr w:rsidR="00FA6007" w14:paraId="27379116" w14:textId="77777777" w:rsidTr="00A536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7DC6D2BA" w14:textId="252CA50F" w:rsidR="00FA6007" w:rsidRPr="00FA6007" w:rsidRDefault="00FA6007" w:rsidP="00FA6007">
            <w:pPr>
              <w:jc w:val="left"/>
              <w:rPr>
                <w:b w:val="0"/>
                <w:color w:val="auto"/>
              </w:rPr>
            </w:pPr>
            <w:r w:rsidRPr="00FA6007">
              <w:rPr>
                <w:b w:val="0"/>
                <w:color w:val="auto"/>
              </w:rPr>
              <w:t>Materiálové náklady podania (</w:t>
            </w:r>
            <w:proofErr w:type="spellStart"/>
            <w:r w:rsidRPr="00FA6007">
              <w:rPr>
                <w:b w:val="0"/>
                <w:color w:val="auto"/>
              </w:rPr>
              <w:t>Cpap</w:t>
            </w:r>
            <w:proofErr w:type="spellEnd"/>
            <w:r w:rsidRPr="00FA6007">
              <w:rPr>
                <w:b w:val="0"/>
                <w:color w:val="auto"/>
              </w:rPr>
              <w:t>)</w:t>
            </w:r>
          </w:p>
        </w:tc>
        <w:tc>
          <w:tcPr>
            <w:tcW w:w="3093" w:type="pct"/>
            <w:tcBorders>
              <w:top w:val="single" w:sz="4" w:space="0" w:color="auto"/>
              <w:bottom w:val="single" w:sz="12" w:space="0" w:color="auto"/>
              <w:right w:val="single" w:sz="4" w:space="0" w:color="auto"/>
            </w:tcBorders>
          </w:tcPr>
          <w:p w14:paraId="4F37F8DC" w14:textId="74DD2D2E" w:rsidR="00544D23" w:rsidRPr="00544D23" w:rsidRDefault="00544D23" w:rsidP="00544D23">
            <w:pPr>
              <w:cnfStyle w:val="000000100000" w:firstRow="0" w:lastRow="0" w:firstColumn="0" w:lastColumn="0" w:oddVBand="0" w:evenVBand="0" w:oddHBand="1" w:evenHBand="0" w:firstRowFirstColumn="0" w:firstRowLastColumn="0" w:lastRowFirstColumn="0" w:lastRowLastColumn="0"/>
              <w:rPr>
                <w:color w:val="auto"/>
              </w:rPr>
            </w:pPr>
            <w:proofErr w:type="spellStart"/>
            <w:r w:rsidRPr="00544D23">
              <w:rPr>
                <w:color w:val="auto"/>
              </w:rPr>
              <w:t>Cpap=Poštovné</w:t>
            </w:r>
            <w:proofErr w:type="spellEnd"/>
            <w:r w:rsidRPr="00544D23">
              <w:rPr>
                <w:color w:val="auto"/>
              </w:rPr>
              <w:t xml:space="preserve"> (0,83 EUR)+Tlač (0,02 EUR)+Papier (0,01 EUR)+Obálka (0,03 EUR).  </w:t>
            </w:r>
          </w:p>
          <w:p w14:paraId="4F8F2DF8" w14:textId="3152FA52" w:rsidR="00FA6007" w:rsidRPr="00FC1065" w:rsidRDefault="00544D23" w:rsidP="00544D23">
            <w:pPr>
              <w:cnfStyle w:val="000000100000" w:firstRow="0" w:lastRow="0" w:firstColumn="0" w:lastColumn="0" w:oddVBand="0" w:evenVBand="0" w:oddHBand="1" w:evenHBand="0" w:firstRowFirstColumn="0" w:firstRowLastColumn="0" w:lastRowFirstColumn="0" w:lastRowLastColumn="0"/>
            </w:pPr>
            <w:r w:rsidRPr="00544D23">
              <w:rPr>
                <w:color w:val="auto"/>
              </w:rPr>
              <w:t>Materiálové náklady podania sú faktorom prevádzkových variabilných nákladov.</w:t>
            </w:r>
          </w:p>
        </w:tc>
        <w:tc>
          <w:tcPr>
            <w:tcW w:w="1141" w:type="pct"/>
            <w:tcBorders>
              <w:top w:val="single" w:sz="4" w:space="0" w:color="auto"/>
              <w:bottom w:val="single" w:sz="4" w:space="0" w:color="auto"/>
              <w:right w:val="single" w:sz="4" w:space="0" w:color="auto"/>
            </w:tcBorders>
          </w:tcPr>
          <w:p w14:paraId="42E35B6F" w14:textId="7ADE330D" w:rsidR="00FA6007" w:rsidRDefault="00544D23" w:rsidP="00FA6007">
            <w:pPr>
              <w:cnfStyle w:val="000000100000" w:firstRow="0" w:lastRow="0" w:firstColumn="0" w:lastColumn="0" w:oddVBand="0" w:evenVBand="0" w:oddHBand="1" w:evenHBand="0" w:firstRowFirstColumn="0" w:firstRowLastColumn="0" w:lastRowFirstColumn="0" w:lastRowLastColumn="0"/>
            </w:pPr>
            <w:r>
              <w:rPr>
                <w:b/>
                <w:color w:val="auto"/>
              </w:rPr>
              <w:t>0,89 EUR</w:t>
            </w:r>
          </w:p>
        </w:tc>
      </w:tr>
      <w:tr w:rsidR="00C067C9" w14:paraId="7DE52E70" w14:textId="77777777" w:rsidTr="00A536EA">
        <w:trPr>
          <w:trHeight w:val="269"/>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123E9004" w14:textId="0065289C" w:rsidR="00C067C9" w:rsidRPr="00FA6007" w:rsidRDefault="00C067C9" w:rsidP="00C067C9">
            <w:pPr>
              <w:jc w:val="left"/>
              <w:rPr>
                <w:b w:val="0"/>
                <w:color w:val="auto"/>
              </w:rPr>
            </w:pPr>
            <w:r>
              <w:rPr>
                <w:b w:val="0"/>
                <w:color w:val="auto"/>
              </w:rPr>
              <w:t>Priemerná mzda v NH</w:t>
            </w:r>
          </w:p>
        </w:tc>
        <w:tc>
          <w:tcPr>
            <w:tcW w:w="3093" w:type="pct"/>
            <w:tcBorders>
              <w:top w:val="single" w:sz="12" w:space="0" w:color="auto"/>
              <w:left w:val="single" w:sz="18" w:space="0" w:color="auto"/>
              <w:bottom w:val="single" w:sz="12" w:space="0" w:color="auto"/>
              <w:right w:val="single" w:sz="12" w:space="0" w:color="auto"/>
            </w:tcBorders>
          </w:tcPr>
          <w:p w14:paraId="5A159B24" w14:textId="0CAB89CC" w:rsidR="00C067C9" w:rsidRPr="00FC1065" w:rsidRDefault="00C067C9" w:rsidP="00C067C9">
            <w:pPr>
              <w:cnfStyle w:val="000000000000" w:firstRow="0" w:lastRow="0" w:firstColumn="0" w:lastColumn="0" w:oddVBand="0" w:evenVBand="0" w:oddHBand="0" w:evenHBand="0" w:firstRowFirstColumn="0" w:firstRowLastColumn="0" w:lastRowFirstColumn="0" w:lastRowLastColumn="0"/>
            </w:pPr>
            <w:proofErr w:type="spellStart"/>
            <w:r w:rsidRPr="00544D23">
              <w:rPr>
                <w:color w:val="auto"/>
              </w:rPr>
              <w:t>Cper</w:t>
            </w:r>
            <w:r>
              <w:rPr>
                <w:color w:val="auto"/>
              </w:rPr>
              <w:t>c</w:t>
            </w:r>
            <w:proofErr w:type="spellEnd"/>
          </w:p>
        </w:tc>
        <w:tc>
          <w:tcPr>
            <w:tcW w:w="1141" w:type="pct"/>
            <w:tcBorders>
              <w:top w:val="single" w:sz="4" w:space="0" w:color="auto"/>
              <w:left w:val="single" w:sz="12" w:space="0" w:color="auto"/>
              <w:bottom w:val="single" w:sz="4" w:space="0" w:color="auto"/>
              <w:right w:val="single" w:sz="4" w:space="0" w:color="auto"/>
            </w:tcBorders>
          </w:tcPr>
          <w:p w14:paraId="09EDABD1" w14:textId="3C960012" w:rsidR="00C067C9" w:rsidRDefault="00C067C9" w:rsidP="00C067C9">
            <w:pPr>
              <w:cnfStyle w:val="000000000000" w:firstRow="0" w:lastRow="0" w:firstColumn="0" w:lastColumn="0" w:oddVBand="0" w:evenVBand="0" w:oddHBand="0" w:evenHBand="0" w:firstRowFirstColumn="0" w:firstRowLastColumn="0" w:lastRowFirstColumn="0" w:lastRowLastColumn="0"/>
            </w:pPr>
            <w:r>
              <w:rPr>
                <w:b/>
                <w:color w:val="auto"/>
              </w:rPr>
              <w:t>4</w:t>
            </w:r>
            <w:r w:rsidRPr="00544D23">
              <w:rPr>
                <w:b/>
                <w:color w:val="auto"/>
              </w:rPr>
              <w:t>,</w:t>
            </w:r>
            <w:r>
              <w:rPr>
                <w:b/>
                <w:color w:val="auto"/>
              </w:rPr>
              <w:t>85</w:t>
            </w:r>
            <w:r w:rsidRPr="00544D23">
              <w:rPr>
                <w:b/>
                <w:color w:val="auto"/>
              </w:rPr>
              <w:t xml:space="preserve"> EUR/hod </w:t>
            </w:r>
            <w:r w:rsidRPr="00544D23">
              <w:t xml:space="preserve">  </w:t>
            </w:r>
          </w:p>
        </w:tc>
      </w:tr>
      <w:tr w:rsidR="00C067C9" w:rsidRPr="00C067C9" w14:paraId="5E3FD6F2" w14:textId="77777777" w:rsidTr="00A536E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6119FE77" w14:textId="007B9741" w:rsidR="00C067C9" w:rsidRPr="00C067C9" w:rsidRDefault="00C067C9" w:rsidP="00C067C9">
            <w:pPr>
              <w:jc w:val="left"/>
              <w:rPr>
                <w:b w:val="0"/>
                <w:color w:val="auto"/>
              </w:rPr>
            </w:pPr>
            <w:r w:rsidRPr="00C067C9">
              <w:rPr>
                <w:b w:val="0"/>
                <w:color w:val="auto"/>
              </w:rPr>
              <w:t>t1</w:t>
            </w:r>
          </w:p>
        </w:tc>
        <w:tc>
          <w:tcPr>
            <w:tcW w:w="3093" w:type="pct"/>
            <w:tcBorders>
              <w:top w:val="single" w:sz="12" w:space="0" w:color="auto"/>
              <w:left w:val="single" w:sz="18" w:space="0" w:color="auto"/>
              <w:bottom w:val="single" w:sz="12" w:space="0" w:color="auto"/>
              <w:right w:val="single" w:sz="12" w:space="0" w:color="auto"/>
            </w:tcBorders>
          </w:tcPr>
          <w:p w14:paraId="3D43F72B" w14:textId="7E8B2D82" w:rsidR="00C067C9" w:rsidRPr="00522B95" w:rsidRDefault="00C067C9" w:rsidP="00522B95">
            <w:pPr>
              <w:jc w:val="left"/>
              <w:cnfStyle w:val="000000100000" w:firstRow="0" w:lastRow="0" w:firstColumn="0" w:lastColumn="0" w:oddVBand="0" w:evenVBand="0" w:oddHBand="1" w:evenHBand="0" w:firstRowFirstColumn="0" w:firstRowLastColumn="0" w:lastRowFirstColumn="0" w:lastRowLastColumn="0"/>
              <w:rPr>
                <w:color w:val="auto"/>
              </w:rPr>
            </w:pPr>
            <w:r w:rsidRPr="00522B95">
              <w:rPr>
                <w:color w:val="auto"/>
              </w:rPr>
              <w:t>Prvý rok, ktorým výpočet CBA a TCO začína, rok začatia projektu</w:t>
            </w:r>
          </w:p>
        </w:tc>
        <w:tc>
          <w:tcPr>
            <w:tcW w:w="1141" w:type="pct"/>
            <w:tcBorders>
              <w:top w:val="single" w:sz="4" w:space="0" w:color="auto"/>
              <w:left w:val="single" w:sz="12" w:space="0" w:color="auto"/>
              <w:bottom w:val="single" w:sz="4" w:space="0" w:color="auto"/>
              <w:right w:val="single" w:sz="4" w:space="0" w:color="auto"/>
            </w:tcBorders>
          </w:tcPr>
          <w:p w14:paraId="736E0196" w14:textId="4246C7A2" w:rsidR="00C067C9" w:rsidRPr="00C067C9" w:rsidRDefault="00C067C9" w:rsidP="00C067C9">
            <w:pPr>
              <w:jc w:val="left"/>
              <w:cnfStyle w:val="000000100000" w:firstRow="0" w:lastRow="0" w:firstColumn="0" w:lastColumn="0" w:oddVBand="0" w:evenVBand="0" w:oddHBand="1" w:evenHBand="0" w:firstRowFirstColumn="0" w:firstRowLastColumn="0" w:lastRowFirstColumn="0" w:lastRowLastColumn="0"/>
              <w:rPr>
                <w:b/>
                <w:color w:val="auto"/>
              </w:rPr>
            </w:pPr>
          </w:p>
        </w:tc>
      </w:tr>
    </w:tbl>
    <w:p w14:paraId="40E18385" w14:textId="448D3169" w:rsidR="00544D23" w:rsidRDefault="00544D23" w:rsidP="00544D23">
      <w:r>
        <w:t xml:space="preserve">V prípade potreby môže žiadateľ referenčné hodnoty osobných nákladov a nákladov na papierovú komunikáciu upraviť. Referenčná hodnota musí byť jasne zdôvodnená a doplnená prepočtom.  </w:t>
      </w:r>
    </w:p>
    <w:p w14:paraId="706AF5FA" w14:textId="7FFCE5A4" w:rsidR="00C2574C" w:rsidRDefault="009B6CE7" w:rsidP="009B6CE7">
      <w:pPr>
        <w:pStyle w:val="Nadpis2"/>
      </w:pPr>
      <w:bookmarkStart w:id="23" w:name="_Ref409007819"/>
      <w:bookmarkStart w:id="24" w:name="_Toc422390676"/>
      <w:r>
        <w:t>Parametre</w:t>
      </w:r>
      <w:bookmarkEnd w:id="23"/>
      <w:bookmarkEnd w:id="24"/>
    </w:p>
    <w:p w14:paraId="475FF50E" w14:textId="63E197E2" w:rsidR="009C2325" w:rsidRDefault="009C2325" w:rsidP="009C2325">
      <w:r w:rsidRPr="009C2325">
        <w:t xml:space="preserve">Parametre sú stanovené osobitne pre </w:t>
      </w:r>
      <w:r w:rsidR="001433F3">
        <w:t>každú alternatívu. Alternatíva A</w:t>
      </w:r>
      <w:r w:rsidRPr="009C2325">
        <w:t xml:space="preserve"> počíta s parametrami vychádzajúcimi zo súčasného stavu. Žiadateľ ich vypočíta, prípadne odhadne na základe empirických údajov o počte podaní, poplatkoch, trvaní služby a pod. za posledné 3 roky pred predložením projektu. Alternatíva </w:t>
      </w:r>
      <w:r w:rsidR="001433F3">
        <w:t>B</w:t>
      </w:r>
      <w:r w:rsidRPr="009C2325">
        <w:t xml:space="preserve"> môže uvádzať iné hodnoty parametrov v závislosti na podmienkach.  </w:t>
      </w:r>
    </w:p>
    <w:p w14:paraId="4301DF2F" w14:textId="4FD70492" w:rsidR="00157EB4" w:rsidRDefault="00157EB4" w:rsidP="00157EB4">
      <w:pPr>
        <w:pStyle w:val="Popis"/>
        <w:jc w:val="left"/>
      </w:pPr>
      <w:bookmarkStart w:id="25" w:name="_Toc422390690"/>
      <w:r>
        <w:t xml:space="preserve">Tabuľka </w:t>
      </w:r>
      <w:r w:rsidR="00C067C9">
        <w:fldChar w:fldCharType="begin"/>
      </w:r>
      <w:r w:rsidR="00C067C9">
        <w:instrText xml:space="preserve"> SEQ Tabuľka \* ARABIC </w:instrText>
      </w:r>
      <w:r w:rsidR="00C067C9">
        <w:fldChar w:fldCharType="separate"/>
      </w:r>
      <w:r w:rsidR="00A66D5D">
        <w:rPr>
          <w:noProof/>
        </w:rPr>
        <w:t>1</w:t>
      </w:r>
      <w:r w:rsidR="00C067C9">
        <w:rPr>
          <w:noProof/>
        </w:rPr>
        <w:fldChar w:fldCharType="end"/>
      </w:r>
      <w:r>
        <w:t xml:space="preserve"> Parametre</w:t>
      </w:r>
      <w:bookmarkEnd w:id="25"/>
    </w:p>
    <w:tbl>
      <w:tblPr>
        <w:tblStyle w:val="GridTable6Colorful-Accent31"/>
        <w:tblW w:w="5000" w:type="pct"/>
        <w:tblLook w:val="04A0" w:firstRow="1" w:lastRow="0" w:firstColumn="1" w:lastColumn="0" w:noHBand="0" w:noVBand="1"/>
      </w:tblPr>
      <w:tblGrid>
        <w:gridCol w:w="1554"/>
        <w:gridCol w:w="2525"/>
        <w:gridCol w:w="6464"/>
        <w:gridCol w:w="2346"/>
        <w:gridCol w:w="1331"/>
      </w:tblGrid>
      <w:tr w:rsidR="00E530D1" w:rsidRPr="0071264A" w14:paraId="7130C62A" w14:textId="2DF8497E" w:rsidTr="00726A1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546"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72D4C550" w14:textId="35199525" w:rsidR="001433F3" w:rsidRPr="0071264A" w:rsidRDefault="001433F3" w:rsidP="00A23397">
            <w:pPr>
              <w:jc w:val="left"/>
              <w:rPr>
                <w:color w:val="auto"/>
              </w:rPr>
            </w:pPr>
            <w:r>
              <w:rPr>
                <w:color w:val="auto"/>
              </w:rPr>
              <w:t>Typ projektu</w:t>
            </w:r>
          </w:p>
        </w:tc>
        <w:tc>
          <w:tcPr>
            <w:tcW w:w="888" w:type="pct"/>
            <w:tcBorders>
              <w:top w:val="single" w:sz="18" w:space="0" w:color="auto"/>
              <w:left w:val="single" w:sz="4" w:space="0" w:color="auto"/>
              <w:bottom w:val="single" w:sz="18" w:space="0" w:color="auto"/>
            </w:tcBorders>
            <w:shd w:val="clear" w:color="auto" w:fill="A6A6A6" w:themeFill="background1" w:themeFillShade="A6"/>
          </w:tcPr>
          <w:p w14:paraId="67A28F9D" w14:textId="6896A3F3" w:rsidR="001433F3" w:rsidRPr="0071264A" w:rsidRDefault="001433F3" w:rsidP="000C661D">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Parameter</w:t>
            </w:r>
          </w:p>
        </w:tc>
        <w:tc>
          <w:tcPr>
            <w:tcW w:w="2273" w:type="pct"/>
            <w:tcBorders>
              <w:top w:val="single" w:sz="18" w:space="0" w:color="auto"/>
              <w:bottom w:val="single" w:sz="18" w:space="0" w:color="auto"/>
              <w:right w:val="single" w:sz="4" w:space="0" w:color="auto"/>
            </w:tcBorders>
            <w:shd w:val="clear" w:color="auto" w:fill="A6A6A6" w:themeFill="background1" w:themeFillShade="A6"/>
          </w:tcPr>
          <w:p w14:paraId="626C561F" w14:textId="419FD20C" w:rsidR="001433F3" w:rsidRPr="0071264A" w:rsidRDefault="001433F3" w:rsidP="00A23397">
            <w:pPr>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825" w:type="pct"/>
            <w:tcBorders>
              <w:top w:val="single" w:sz="18" w:space="0" w:color="auto"/>
              <w:bottom w:val="single" w:sz="4" w:space="0" w:color="auto"/>
              <w:right w:val="single" w:sz="18" w:space="0" w:color="auto"/>
            </w:tcBorders>
            <w:shd w:val="clear" w:color="auto" w:fill="A6A6A6" w:themeFill="background1" w:themeFillShade="A6"/>
          </w:tcPr>
          <w:p w14:paraId="27CCE173" w14:textId="660514D5" w:rsidR="001433F3" w:rsidRDefault="001433F3" w:rsidP="00A23397">
            <w:pPr>
              <w:cnfStyle w:val="100000000000" w:firstRow="1" w:lastRow="0" w:firstColumn="0" w:lastColumn="0" w:oddVBand="0" w:evenVBand="0" w:oddHBand="0" w:evenHBand="0" w:firstRowFirstColumn="0" w:firstRowLastColumn="0" w:lastRowFirstColumn="0" w:lastRowLastColumn="0"/>
            </w:pPr>
            <w:r w:rsidRPr="003A4E09">
              <w:rPr>
                <w:color w:val="auto"/>
              </w:rPr>
              <w:t>Príklad</w:t>
            </w:r>
          </w:p>
        </w:tc>
        <w:tc>
          <w:tcPr>
            <w:tcW w:w="468" w:type="pct"/>
            <w:tcBorders>
              <w:top w:val="single" w:sz="18" w:space="0" w:color="auto"/>
              <w:bottom w:val="single" w:sz="4" w:space="0" w:color="auto"/>
              <w:right w:val="single" w:sz="18" w:space="0" w:color="auto"/>
            </w:tcBorders>
            <w:shd w:val="clear" w:color="auto" w:fill="A6A6A6" w:themeFill="background1" w:themeFillShade="A6"/>
          </w:tcPr>
          <w:p w14:paraId="29282497" w14:textId="651C813D" w:rsidR="001433F3" w:rsidRPr="003A4E09" w:rsidRDefault="001433F3" w:rsidP="00A23397">
            <w:pPr>
              <w:cnfStyle w:val="100000000000" w:firstRow="1" w:lastRow="0" w:firstColumn="0" w:lastColumn="0" w:oddVBand="0" w:evenVBand="0" w:oddHBand="0" w:evenHBand="0" w:firstRowFirstColumn="0" w:firstRowLastColumn="0" w:lastRowFirstColumn="0" w:lastRowLastColumn="0"/>
            </w:pPr>
            <w:r w:rsidRPr="001433F3">
              <w:rPr>
                <w:color w:val="auto"/>
              </w:rPr>
              <w:t>Merná jednotka</w:t>
            </w:r>
          </w:p>
        </w:tc>
      </w:tr>
      <w:tr w:rsidR="001433F3" w:rsidRPr="0071264A" w14:paraId="55C33C55" w14:textId="04108914" w:rsidTr="001433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09677E0A" w14:textId="5A19E9FE" w:rsidR="001433F3" w:rsidRPr="003A4E09" w:rsidRDefault="001433F3" w:rsidP="00FC1065">
            <w:pPr>
              <w:rPr>
                <w:sz w:val="24"/>
              </w:rPr>
            </w:pPr>
            <w:r w:rsidRPr="003A4E09">
              <w:rPr>
                <w:color w:val="auto"/>
                <w:sz w:val="24"/>
              </w:rPr>
              <w:t>Projekt zameraný na  životné situácie</w:t>
            </w:r>
          </w:p>
        </w:tc>
      </w:tr>
      <w:tr w:rsidR="00844752" w:rsidRPr="0071264A" w14:paraId="68AD425F" w14:textId="625AFAD5" w:rsidTr="00844752">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bottom w:val="single" w:sz="4" w:space="0" w:color="auto"/>
              <w:right w:val="single" w:sz="4" w:space="0" w:color="auto"/>
            </w:tcBorders>
          </w:tcPr>
          <w:p w14:paraId="575595DE" w14:textId="3DD7ACC6" w:rsidR="00844752" w:rsidRPr="00A97FE0" w:rsidRDefault="00844752" w:rsidP="00A23397">
            <w:pPr>
              <w:rPr>
                <w:color w:val="5B9BD5" w:themeColor="accent1"/>
              </w:rPr>
            </w:pPr>
            <w:r w:rsidRPr="00A97FE0">
              <w:rPr>
                <w:color w:val="5B9BD5" w:themeColor="accent1"/>
              </w:rPr>
              <w:t>Časové parametre</w:t>
            </w:r>
          </w:p>
        </w:tc>
      </w:tr>
      <w:tr w:rsidR="001433F3" w:rsidRPr="0071264A" w14:paraId="7B296869" w14:textId="0746E1D6"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74B32C95" w14:textId="77777777" w:rsidR="001433F3" w:rsidRPr="0071264A" w:rsidRDefault="001433F3" w:rsidP="00A23397"/>
        </w:tc>
        <w:tc>
          <w:tcPr>
            <w:tcW w:w="888" w:type="pct"/>
            <w:tcBorders>
              <w:left w:val="single" w:sz="18" w:space="0" w:color="auto"/>
            </w:tcBorders>
          </w:tcPr>
          <w:p w14:paraId="18C2459F" w14:textId="165B34E7" w:rsidR="001433F3" w:rsidRDefault="001433F3" w:rsidP="000C661D">
            <w:pPr>
              <w:jc w:val="left"/>
              <w:cnfStyle w:val="000000100000" w:firstRow="0" w:lastRow="0" w:firstColumn="0" w:lastColumn="0" w:oddVBand="0" w:evenVBand="0" w:oddHBand="1" w:evenHBand="0" w:firstRowFirstColumn="0" w:firstRowLastColumn="0" w:lastRowFirstColumn="0" w:lastRowLastColumn="0"/>
            </w:pPr>
            <w:r w:rsidRPr="00D60E25">
              <w:rPr>
                <w:color w:val="auto"/>
              </w:rPr>
              <w:t>Priemerný čas potrebný na vypracovanie a doručenie podaní</w:t>
            </w:r>
          </w:p>
        </w:tc>
        <w:tc>
          <w:tcPr>
            <w:tcW w:w="2273" w:type="pct"/>
            <w:tcBorders>
              <w:right w:val="single" w:sz="4" w:space="0" w:color="auto"/>
            </w:tcBorders>
          </w:tcPr>
          <w:p w14:paraId="0C851E74" w14:textId="020477CB" w:rsidR="001433F3" w:rsidRDefault="00934988" w:rsidP="00A265E8">
            <w:pPr>
              <w:cnfStyle w:val="000000100000" w:firstRow="0" w:lastRow="0" w:firstColumn="0" w:lastColumn="0" w:oddVBand="0" w:evenVBand="0" w:oddHBand="1" w:evenHBand="0" w:firstRowFirstColumn="0" w:firstRowLastColumn="0" w:lastRowFirstColumn="0" w:lastRowLastColumn="0"/>
              <w:rPr>
                <w:color w:val="auto"/>
              </w:rPr>
            </w:pPr>
            <w:r>
              <w:rPr>
                <w:color w:val="auto"/>
              </w:rPr>
              <w:t>Kumulatívna hodnota zložená z jednotlivých podaní, ktoré vstupujú do procesu životnej situácie. Pričom jednotlivé hodnoty podaní u</w:t>
            </w:r>
            <w:r w:rsidR="001433F3" w:rsidRPr="00D60E25">
              <w:rPr>
                <w:color w:val="auto"/>
              </w:rPr>
              <w:t>dáva</w:t>
            </w:r>
            <w:r>
              <w:rPr>
                <w:color w:val="auto"/>
              </w:rPr>
              <w:t>jú</w:t>
            </w:r>
            <w:r w:rsidR="001433F3" w:rsidRPr="00D60E25">
              <w:rPr>
                <w:color w:val="auto"/>
              </w:rPr>
              <w:t xml:space="preserve"> priemernú dĺžku trvania činností používateľa služby bezprostredne súvisiacimi</w:t>
            </w:r>
            <w:r w:rsidR="001433F3">
              <w:rPr>
                <w:color w:val="auto"/>
              </w:rPr>
              <w:t xml:space="preserve"> </w:t>
            </w:r>
            <w:r w:rsidR="001433F3" w:rsidRPr="00D60E25">
              <w:rPr>
                <w:color w:val="auto"/>
              </w:rPr>
              <w:t>s vypracovaním (vyplniť formulár, zaobstarať jeho prílohy) a doručením (osobne, poštou) podaní v rámci riešenia danej životnej situácie. Hodnota obsahuje čas potrebný na cestovanie v prípade, ak používateľ služby doručuje podania osobne. Do času potrebného na doručenie podania sa nepočíta trvanie doručenia poštou.</w:t>
            </w:r>
          </w:p>
          <w:p w14:paraId="6FF5910B" w14:textId="2ED9F1A9" w:rsidR="001433F3" w:rsidRDefault="001433F3" w:rsidP="00A265E8">
            <w:pPr>
              <w:cnfStyle w:val="000000100000" w:firstRow="0" w:lastRow="0" w:firstColumn="0" w:lastColumn="0" w:oddVBand="0" w:evenVBand="0" w:oddHBand="1" w:evenHBand="0" w:firstRowFirstColumn="0" w:firstRowLastColumn="0" w:lastRowFirstColumn="0" w:lastRowLastColumn="0"/>
            </w:pPr>
            <w:r>
              <w:rPr>
                <w:color w:val="auto"/>
              </w:rPr>
              <w:t>Pozitívna zmena je skrátenie času.</w:t>
            </w:r>
          </w:p>
        </w:tc>
        <w:tc>
          <w:tcPr>
            <w:tcW w:w="825" w:type="pct"/>
            <w:tcBorders>
              <w:right w:val="single" w:sz="4" w:space="0" w:color="auto"/>
            </w:tcBorders>
          </w:tcPr>
          <w:p w14:paraId="3ACA3A3F" w14:textId="62E2B588" w:rsidR="001433F3" w:rsidRDefault="001433F3" w:rsidP="007E6C4F">
            <w:pPr>
              <w:cnfStyle w:val="000000100000" w:firstRow="0" w:lastRow="0" w:firstColumn="0" w:lastColumn="0" w:oddVBand="0" w:evenVBand="0" w:oddHBand="1" w:evenHBand="0" w:firstRowFirstColumn="0" w:firstRowLastColumn="0" w:lastRowFirstColumn="0" w:lastRowLastColumn="0"/>
            </w:pPr>
            <w:r>
              <w:t>1 deň</w:t>
            </w:r>
          </w:p>
        </w:tc>
        <w:tc>
          <w:tcPr>
            <w:tcW w:w="468" w:type="pct"/>
            <w:tcBorders>
              <w:right w:val="single" w:sz="4" w:space="0" w:color="auto"/>
            </w:tcBorders>
          </w:tcPr>
          <w:p w14:paraId="4552799A" w14:textId="53AB0010" w:rsidR="001433F3" w:rsidRDefault="001433F3" w:rsidP="007E6C4F">
            <w:pPr>
              <w:cnfStyle w:val="000000100000" w:firstRow="0" w:lastRow="0" w:firstColumn="0" w:lastColumn="0" w:oddVBand="0" w:evenVBand="0" w:oddHBand="1" w:evenHBand="0" w:firstRowFirstColumn="0" w:firstRowLastColumn="0" w:lastRowFirstColumn="0" w:lastRowLastColumn="0"/>
            </w:pPr>
            <w:r>
              <w:t>deň</w:t>
            </w:r>
          </w:p>
        </w:tc>
      </w:tr>
      <w:tr w:rsidR="001433F3" w:rsidRPr="0071264A" w14:paraId="7E2D8999" w14:textId="080FDEE4" w:rsidTr="001433F3">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3E6916A" w14:textId="470726DC" w:rsidR="001433F3" w:rsidRDefault="001433F3" w:rsidP="007E6C4F">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5A1241D4" w14:textId="77777777"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0463A3B" w14:textId="77777777" w:rsidR="00133EE4" w:rsidRPr="0071264A" w:rsidRDefault="00133EE4" w:rsidP="00133EE4"/>
        </w:tc>
        <w:tc>
          <w:tcPr>
            <w:tcW w:w="888" w:type="pct"/>
            <w:tcBorders>
              <w:left w:val="single" w:sz="18" w:space="0" w:color="auto"/>
            </w:tcBorders>
          </w:tcPr>
          <w:p w14:paraId="1134BA22" w14:textId="5F4BAFB8" w:rsidR="00133EE4" w:rsidRDefault="00133EE4" w:rsidP="00133EE4">
            <w:pPr>
              <w:jc w:val="left"/>
              <w:cnfStyle w:val="000000100000" w:firstRow="0" w:lastRow="0" w:firstColumn="0" w:lastColumn="0" w:oddVBand="0" w:evenVBand="0" w:oddHBand="1" w:evenHBand="0" w:firstRowFirstColumn="0" w:firstRowLastColumn="0" w:lastRowFirstColumn="0" w:lastRowLastColumn="0"/>
            </w:pPr>
            <w:r w:rsidRPr="0098447D">
              <w:rPr>
                <w:color w:val="auto"/>
              </w:rPr>
              <w:t>Kvalitatívne prínosy</w:t>
            </w:r>
          </w:p>
        </w:tc>
        <w:tc>
          <w:tcPr>
            <w:tcW w:w="2273" w:type="pct"/>
            <w:tcBorders>
              <w:right w:val="single" w:sz="4" w:space="0" w:color="auto"/>
            </w:tcBorders>
          </w:tcPr>
          <w:p w14:paraId="2ED575E1" w14:textId="62FDC993" w:rsidR="00133EE4" w:rsidRDefault="00133EE4" w:rsidP="00133EE4">
            <w:pPr>
              <w:cnfStyle w:val="000000100000" w:firstRow="0" w:lastRow="0" w:firstColumn="0" w:lastColumn="0" w:oddVBand="0" w:evenVBand="0" w:oddHBand="1" w:evenHBand="0" w:firstRowFirstColumn="0" w:firstRowLastColumn="0" w:lastRowFirstColumn="0" w:lastRowLastColumn="0"/>
            </w:pPr>
            <w:r w:rsidRPr="0098447D">
              <w:rPr>
                <w:color w:val="auto"/>
              </w:rPr>
              <w:t xml:space="preserve">Kvalitatívny alebo iný významný prínos </w:t>
            </w:r>
            <w:r>
              <w:rPr>
                <w:color w:val="auto"/>
              </w:rPr>
              <w:t>riešenia životnej situácie</w:t>
            </w:r>
            <w:r w:rsidRPr="0098447D">
              <w:rPr>
                <w:color w:val="auto"/>
              </w:rPr>
              <w:t xml:space="preserve"> v peňažnom vyjadrení, ktorý nie je možné vyjadriť predchádzajúcimi parametrami.</w:t>
            </w:r>
          </w:p>
        </w:tc>
        <w:tc>
          <w:tcPr>
            <w:tcW w:w="825" w:type="pct"/>
            <w:tcBorders>
              <w:right w:val="single" w:sz="4" w:space="0" w:color="auto"/>
            </w:tcBorders>
          </w:tcPr>
          <w:p w14:paraId="4E18162C" w14:textId="77777777" w:rsidR="00133EE4"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0D17833C" w14:textId="77777777" w:rsidR="00133EE4" w:rsidRDefault="00133EE4" w:rsidP="00133EE4">
            <w:pPr>
              <w:cnfStyle w:val="000000100000" w:firstRow="0" w:lastRow="0" w:firstColumn="0" w:lastColumn="0" w:oddVBand="0" w:evenVBand="0" w:oddHBand="1" w:evenHBand="0" w:firstRowFirstColumn="0" w:firstRowLastColumn="0" w:lastRowFirstColumn="0" w:lastRowLastColumn="0"/>
            </w:pPr>
          </w:p>
        </w:tc>
      </w:tr>
      <w:tr w:rsidR="00133EE4" w:rsidRPr="0071264A" w14:paraId="59B45619" w14:textId="567F949B" w:rsidTr="001433F3">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7774EDF3" w14:textId="4C79AB7F" w:rsidR="00133EE4" w:rsidRPr="00274028" w:rsidRDefault="00133EE4" w:rsidP="00133EE4">
            <w:pPr>
              <w:rPr>
                <w:color w:val="5B9BD5" w:themeColor="accent1"/>
              </w:rPr>
            </w:pPr>
            <w:proofErr w:type="spellStart"/>
            <w:r w:rsidRPr="00274028">
              <w:rPr>
                <w:color w:val="5B9BD5" w:themeColor="accent1"/>
              </w:rPr>
              <w:t>Kvantitívne</w:t>
            </w:r>
            <w:proofErr w:type="spellEnd"/>
            <w:r w:rsidRPr="00274028">
              <w:rPr>
                <w:color w:val="5B9BD5" w:themeColor="accent1"/>
              </w:rPr>
              <w:t xml:space="preserve"> parametre</w:t>
            </w:r>
          </w:p>
        </w:tc>
      </w:tr>
      <w:tr w:rsidR="00133EE4" w:rsidRPr="0071264A" w14:paraId="4C3F1A72" w14:textId="5BD975D7"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22F18AF7" w14:textId="77777777" w:rsidR="00133EE4" w:rsidRPr="0071264A" w:rsidRDefault="00133EE4" w:rsidP="00133EE4"/>
        </w:tc>
        <w:tc>
          <w:tcPr>
            <w:tcW w:w="888" w:type="pct"/>
            <w:tcBorders>
              <w:left w:val="single" w:sz="18" w:space="0" w:color="auto"/>
            </w:tcBorders>
          </w:tcPr>
          <w:p w14:paraId="276CFA07" w14:textId="7E37C9BC"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Priemerný počet za rok</w:t>
            </w:r>
          </w:p>
        </w:tc>
        <w:tc>
          <w:tcPr>
            <w:tcW w:w="2273" w:type="pct"/>
            <w:tcBorders>
              <w:right w:val="single" w:sz="4" w:space="0" w:color="auto"/>
            </w:tcBorders>
          </w:tcPr>
          <w:p w14:paraId="1AC09F49" w14:textId="4A5F4C3A"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Parameter vyjadruje priemerný počet výskytu životnej situácie za rok</w:t>
            </w:r>
            <w:r>
              <w:rPr>
                <w:color w:val="auto"/>
              </w:rPr>
              <w:t>.</w:t>
            </w:r>
            <w:r w:rsidRPr="00274028">
              <w:rPr>
                <w:color w:val="auto"/>
              </w:rPr>
              <w:t xml:space="preserve"> </w:t>
            </w:r>
          </w:p>
        </w:tc>
        <w:tc>
          <w:tcPr>
            <w:tcW w:w="825" w:type="pct"/>
            <w:tcBorders>
              <w:right w:val="single" w:sz="4" w:space="0" w:color="auto"/>
            </w:tcBorders>
          </w:tcPr>
          <w:p w14:paraId="6AAB6498" w14:textId="5364C8FA"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t>5000</w:t>
            </w:r>
          </w:p>
        </w:tc>
        <w:tc>
          <w:tcPr>
            <w:tcW w:w="468" w:type="pct"/>
            <w:tcBorders>
              <w:right w:val="single" w:sz="4" w:space="0" w:color="auto"/>
            </w:tcBorders>
          </w:tcPr>
          <w:p w14:paraId="408AAEF8" w14:textId="261B5B03"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60C58865" w14:textId="7971760D"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10CABBA6" w14:textId="1D08F6D3" w:rsidR="00133EE4" w:rsidRDefault="00133EE4" w:rsidP="00133EE4">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133EE4" w:rsidRPr="0071264A" w14:paraId="715D5521" w14:textId="4C8D8A93"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6D09F6E0" w14:textId="48302501" w:rsidR="00133EE4" w:rsidRPr="00A97FE0" w:rsidRDefault="00133EE4" w:rsidP="00133EE4">
            <w:pPr>
              <w:rPr>
                <w:color w:val="5B9BD5" w:themeColor="accent1"/>
              </w:rPr>
            </w:pPr>
            <w:r w:rsidRPr="00A97FE0">
              <w:rPr>
                <w:color w:val="5B9BD5" w:themeColor="accent1"/>
              </w:rPr>
              <w:t>Časové parametre</w:t>
            </w:r>
          </w:p>
        </w:tc>
      </w:tr>
      <w:tr w:rsidR="00133EE4" w:rsidRPr="0071264A" w14:paraId="48775DAF" w14:textId="3250E889"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3CCE5F3" w14:textId="77777777" w:rsidR="00133EE4" w:rsidRPr="001D4F63" w:rsidRDefault="00133EE4" w:rsidP="00133EE4">
            <w:pPr>
              <w:rPr>
                <w:sz w:val="20"/>
                <w:szCs w:val="20"/>
              </w:rPr>
            </w:pPr>
          </w:p>
        </w:tc>
        <w:tc>
          <w:tcPr>
            <w:tcW w:w="888" w:type="pct"/>
            <w:tcBorders>
              <w:left w:val="single" w:sz="18" w:space="0" w:color="auto"/>
            </w:tcBorders>
          </w:tcPr>
          <w:p w14:paraId="569E7258" w14:textId="6AA0A727" w:rsidR="00133EE4" w:rsidRPr="0098447D" w:rsidRDefault="00133EE4" w:rsidP="00133EE4">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Trvanie spracovania podania</w:t>
            </w:r>
          </w:p>
        </w:tc>
        <w:tc>
          <w:tcPr>
            <w:tcW w:w="2273" w:type="pct"/>
            <w:tcBorders>
              <w:right w:val="single" w:sz="4" w:space="0" w:color="auto"/>
            </w:tcBorders>
          </w:tcPr>
          <w:p w14:paraId="1795765C" w14:textId="71C8F59F" w:rsidR="00133EE4" w:rsidRPr="0098447D" w:rsidRDefault="00133EE4" w:rsidP="00133EE4">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Vyjadruje čas vynaložený poskytovateľom služby na vybavenie agendy bezprostredne súvisiacej so spracovaním podania a doručením výsledku. Do času sa nepočíta čas potrebný na doručenie správy. </w:t>
            </w:r>
          </w:p>
        </w:tc>
        <w:tc>
          <w:tcPr>
            <w:tcW w:w="825" w:type="pct"/>
            <w:tcBorders>
              <w:right w:val="single" w:sz="4" w:space="0" w:color="auto"/>
            </w:tcBorders>
          </w:tcPr>
          <w:p w14:paraId="5BEA5979" w14:textId="7777777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64F59EAB" w14:textId="1E7CA35E" w:rsidR="00133EE4" w:rsidRPr="00FC1065" w:rsidRDefault="00831106" w:rsidP="00133EE4">
            <w:pPr>
              <w:cnfStyle w:val="000000000000" w:firstRow="0" w:lastRow="0" w:firstColumn="0" w:lastColumn="0" w:oddVBand="0" w:evenVBand="0" w:oddHBand="0" w:evenHBand="0" w:firstRowFirstColumn="0" w:firstRowLastColumn="0" w:lastRowFirstColumn="0" w:lastRowLastColumn="0"/>
            </w:pPr>
            <w:r>
              <w:t>hod.</w:t>
            </w:r>
          </w:p>
        </w:tc>
      </w:tr>
      <w:tr w:rsidR="00133EE4" w:rsidRPr="0071264A" w14:paraId="43257B7E" w14:textId="3DD4EA3A"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550513CE" w14:textId="77777777" w:rsidR="00133EE4" w:rsidRPr="001D4F63" w:rsidRDefault="00133EE4" w:rsidP="00133EE4">
            <w:pPr>
              <w:rPr>
                <w:sz w:val="20"/>
                <w:szCs w:val="20"/>
              </w:rPr>
            </w:pPr>
          </w:p>
        </w:tc>
        <w:tc>
          <w:tcPr>
            <w:tcW w:w="888" w:type="pct"/>
            <w:tcBorders>
              <w:left w:val="single" w:sz="18" w:space="0" w:color="auto"/>
            </w:tcBorders>
          </w:tcPr>
          <w:p w14:paraId="3ED59D47" w14:textId="17C2E3D7"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Priemerný čas potrebný na vypracovanie a doručenie podania</w:t>
            </w:r>
          </w:p>
        </w:tc>
        <w:tc>
          <w:tcPr>
            <w:tcW w:w="2273" w:type="pct"/>
            <w:tcBorders>
              <w:right w:val="single" w:sz="4" w:space="0" w:color="auto"/>
            </w:tcBorders>
          </w:tcPr>
          <w:p w14:paraId="23FF85A9" w14:textId="19943FA2"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Udáva priemernú dĺžku trvania činností používateľa služby bezprostredne súvisiacimi s vypracovaním (vyplniť formulár, zaobstarať jeho prílohy) a doručením (osobne, poštou)  podania. Hodnota obsahuje čas potrebný na cestovanie v prípade, ak používateľ služby doručuje podanie osobne. Do času potrebného na doručenie podania sa nepočíta trvanie doručenia poštou</w:t>
            </w:r>
          </w:p>
        </w:tc>
        <w:tc>
          <w:tcPr>
            <w:tcW w:w="825" w:type="pct"/>
            <w:tcBorders>
              <w:right w:val="single" w:sz="4" w:space="0" w:color="auto"/>
            </w:tcBorders>
          </w:tcPr>
          <w:p w14:paraId="1CB76835"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2C2A8053" w14:textId="67347BF3" w:rsidR="00133EE4" w:rsidRPr="00FC1065" w:rsidRDefault="00831106" w:rsidP="00133EE4">
            <w:pPr>
              <w:cnfStyle w:val="000000100000" w:firstRow="0" w:lastRow="0" w:firstColumn="0" w:lastColumn="0" w:oddVBand="0" w:evenVBand="0" w:oddHBand="1" w:evenHBand="0" w:firstRowFirstColumn="0" w:firstRowLastColumn="0" w:lastRowFirstColumn="0" w:lastRowLastColumn="0"/>
            </w:pPr>
            <w:r>
              <w:t>hod.</w:t>
            </w:r>
          </w:p>
        </w:tc>
      </w:tr>
      <w:tr w:rsidR="00133EE4" w:rsidRPr="0071264A" w14:paraId="51AADF6C" w14:textId="570E6229"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5DD8A1CC" w14:textId="7552AA56" w:rsidR="00133EE4" w:rsidRDefault="00133EE4" w:rsidP="00133EE4">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2360CDA4" w14:textId="5AC40652"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1BA66EB2" w14:textId="77777777" w:rsidR="00133EE4" w:rsidRPr="001D4F63" w:rsidRDefault="00133EE4" w:rsidP="00133EE4">
            <w:pPr>
              <w:rPr>
                <w:sz w:val="20"/>
                <w:szCs w:val="20"/>
              </w:rPr>
            </w:pPr>
          </w:p>
        </w:tc>
        <w:tc>
          <w:tcPr>
            <w:tcW w:w="888" w:type="pct"/>
            <w:tcBorders>
              <w:left w:val="single" w:sz="18" w:space="0" w:color="auto"/>
            </w:tcBorders>
          </w:tcPr>
          <w:p w14:paraId="5AF174EF" w14:textId="59843D01"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Kvalitatívne prínosy</w:t>
            </w:r>
          </w:p>
        </w:tc>
        <w:tc>
          <w:tcPr>
            <w:tcW w:w="2273" w:type="pct"/>
            <w:tcBorders>
              <w:right w:val="single" w:sz="4" w:space="0" w:color="auto"/>
            </w:tcBorders>
          </w:tcPr>
          <w:p w14:paraId="7C1FDF98" w14:textId="35DD60EE"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Kvalitatívny alebo iný významný prínos zavedenia elektronickej služby alebo skupiny služieb v peňažnom vyjadrení, ktorý nie je možné vyjadriť predchádzajúcimi parametrami.</w:t>
            </w:r>
          </w:p>
        </w:tc>
        <w:tc>
          <w:tcPr>
            <w:tcW w:w="825" w:type="pct"/>
            <w:tcBorders>
              <w:right w:val="single" w:sz="4" w:space="0" w:color="auto"/>
            </w:tcBorders>
          </w:tcPr>
          <w:p w14:paraId="6DD1C433"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2D335141"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r>
      <w:tr w:rsidR="00133EE4" w:rsidRPr="0071264A" w14:paraId="14259496" w14:textId="13290ABC"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288D854C" w14:textId="4FB90880" w:rsidR="00133EE4" w:rsidRPr="00274028" w:rsidRDefault="00133EE4" w:rsidP="00133EE4">
            <w:pPr>
              <w:rPr>
                <w:color w:val="5B9BD5" w:themeColor="accent1"/>
              </w:rPr>
            </w:pPr>
            <w:proofErr w:type="spellStart"/>
            <w:r w:rsidRPr="00274028">
              <w:rPr>
                <w:color w:val="5B9BD5" w:themeColor="accent1"/>
              </w:rPr>
              <w:t>Kvantitívne</w:t>
            </w:r>
            <w:proofErr w:type="spellEnd"/>
            <w:r w:rsidRPr="00274028">
              <w:rPr>
                <w:color w:val="5B9BD5" w:themeColor="accent1"/>
              </w:rPr>
              <w:t xml:space="preserve"> parametre</w:t>
            </w:r>
          </w:p>
        </w:tc>
      </w:tr>
      <w:tr w:rsidR="00133EE4" w:rsidRPr="0071264A" w14:paraId="737E12A2" w14:textId="583F7486"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597573F7" w14:textId="77777777" w:rsidR="00133EE4" w:rsidRPr="001D4F63" w:rsidRDefault="00133EE4" w:rsidP="00133EE4">
            <w:pPr>
              <w:rPr>
                <w:sz w:val="20"/>
                <w:szCs w:val="20"/>
              </w:rPr>
            </w:pPr>
          </w:p>
        </w:tc>
        <w:tc>
          <w:tcPr>
            <w:tcW w:w="888" w:type="pct"/>
            <w:tcBorders>
              <w:left w:val="single" w:sz="18" w:space="0" w:color="auto"/>
            </w:tcBorders>
          </w:tcPr>
          <w:p w14:paraId="09EE9EBB" w14:textId="72097766"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rsidRPr="003C69CA">
              <w:rPr>
                <w:color w:val="auto"/>
              </w:rPr>
              <w:t>Počet podaní</w:t>
            </w:r>
          </w:p>
        </w:tc>
        <w:tc>
          <w:tcPr>
            <w:tcW w:w="2273" w:type="pct"/>
            <w:tcBorders>
              <w:right w:val="single" w:sz="4" w:space="0" w:color="auto"/>
            </w:tcBorders>
          </w:tcPr>
          <w:p w14:paraId="5D331AA4" w14:textId="77777777" w:rsidR="00133EE4" w:rsidRPr="003C69CA"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3C69CA">
              <w:rPr>
                <w:color w:val="auto"/>
              </w:rPr>
              <w:t xml:space="preserve">Priemerný počet spracovaných podaní prijatých v rámci všetkých služieb, ktorých elektronizácia je predmetom projektu. Ukazovateľ vyjadruje priemerný počet podaní spracovaných za rok v rámci úseku správy, ktorý je predmetom projektu. </w:t>
            </w:r>
          </w:p>
          <w:p w14:paraId="224C10CD" w14:textId="0C91ED82"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rsidRPr="003C69CA">
              <w:rPr>
                <w:color w:val="auto"/>
              </w:rPr>
              <w:t>V prípade, ak je možné odhadnúť trend vývoja počtu podaní</w:t>
            </w:r>
          </w:p>
        </w:tc>
        <w:tc>
          <w:tcPr>
            <w:tcW w:w="825" w:type="pct"/>
            <w:tcBorders>
              <w:right w:val="single" w:sz="4" w:space="0" w:color="auto"/>
            </w:tcBorders>
          </w:tcPr>
          <w:p w14:paraId="5B2D4A09"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15661033" w14:textId="4C214C28"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144A3B4A" w14:textId="07882E00"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6002CEB7" w14:textId="77777777" w:rsidR="00133EE4" w:rsidRPr="001D4F63" w:rsidRDefault="00133EE4" w:rsidP="00133EE4">
            <w:pPr>
              <w:rPr>
                <w:sz w:val="20"/>
                <w:szCs w:val="20"/>
              </w:rPr>
            </w:pPr>
          </w:p>
        </w:tc>
        <w:tc>
          <w:tcPr>
            <w:tcW w:w="888" w:type="pct"/>
            <w:tcBorders>
              <w:left w:val="single" w:sz="18" w:space="0" w:color="auto"/>
            </w:tcBorders>
          </w:tcPr>
          <w:p w14:paraId="66C12ED3" w14:textId="06AA05F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rsidRPr="003C69CA">
              <w:rPr>
                <w:color w:val="auto"/>
              </w:rPr>
              <w:t>Výška administratívneho poplatku</w:t>
            </w:r>
          </w:p>
        </w:tc>
        <w:tc>
          <w:tcPr>
            <w:tcW w:w="2273" w:type="pct"/>
            <w:tcBorders>
              <w:right w:val="single" w:sz="4" w:space="0" w:color="auto"/>
            </w:tcBorders>
          </w:tcPr>
          <w:p w14:paraId="1C2E4785" w14:textId="3B89678D"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rsidRPr="003C69CA">
              <w:rPr>
                <w:color w:val="auto"/>
              </w:rPr>
              <w:t>Na základe Sadzobníka správnych poplatkov, ktoré povinná osoba vyberá za správne úkony.</w:t>
            </w:r>
          </w:p>
        </w:tc>
        <w:tc>
          <w:tcPr>
            <w:tcW w:w="825" w:type="pct"/>
            <w:tcBorders>
              <w:right w:val="single" w:sz="4" w:space="0" w:color="auto"/>
            </w:tcBorders>
          </w:tcPr>
          <w:p w14:paraId="367A7E40" w14:textId="7777777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0E5975B1" w14:textId="3473865B"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t>€</w:t>
            </w:r>
          </w:p>
        </w:tc>
      </w:tr>
      <w:tr w:rsidR="00133EE4" w:rsidRPr="0071264A" w14:paraId="6D7A31E0" w14:textId="1904C9EA"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03C22F2A" w14:textId="77777777" w:rsidR="00133EE4" w:rsidRPr="001D4F63" w:rsidRDefault="00133EE4" w:rsidP="00133EE4">
            <w:pPr>
              <w:rPr>
                <w:sz w:val="20"/>
                <w:szCs w:val="20"/>
              </w:rPr>
            </w:pPr>
          </w:p>
        </w:tc>
        <w:tc>
          <w:tcPr>
            <w:tcW w:w="888" w:type="pct"/>
            <w:tcBorders>
              <w:left w:val="single" w:sz="18" w:space="0" w:color="auto"/>
            </w:tcBorders>
          </w:tcPr>
          <w:p w14:paraId="4B981CAC" w14:textId="0BF603C0"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Počet zamestnancov vybavujúcich agendu</w:t>
            </w:r>
          </w:p>
        </w:tc>
        <w:tc>
          <w:tcPr>
            <w:tcW w:w="2273" w:type="pct"/>
            <w:tcBorders>
              <w:right w:val="single" w:sz="4" w:space="0" w:color="auto"/>
            </w:tcBorders>
          </w:tcPr>
          <w:p w14:paraId="2590D817" w14:textId="3E0F7E14"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Priemerný počet zamestnancov na strane poskytovateľa služby, ktorí sú priamo zapojení do spracovania podania. Parameter udáva iba počet zamestnancov, vykonávajúcich exekutívnu agendu. Do výpočtu nie sú zahrnutí zamestnanci zabezpečujúci riadiace a podporné činnosti.</w:t>
            </w:r>
          </w:p>
        </w:tc>
        <w:tc>
          <w:tcPr>
            <w:tcW w:w="825" w:type="pct"/>
            <w:tcBorders>
              <w:right w:val="single" w:sz="4" w:space="0" w:color="auto"/>
            </w:tcBorders>
          </w:tcPr>
          <w:p w14:paraId="40BEA985"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67C2DBD7" w14:textId="4EF61325"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6DF2FD60" w14:textId="13A0CCB4"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right w:val="single" w:sz="18" w:space="0" w:color="auto"/>
            </w:tcBorders>
          </w:tcPr>
          <w:p w14:paraId="1AD9CE57" w14:textId="24002088" w:rsidR="00133EE4" w:rsidRDefault="00133EE4" w:rsidP="00133EE4">
            <w:r>
              <w:rPr>
                <w:color w:val="auto"/>
              </w:rPr>
              <w:t>Projekt zameraný</w:t>
            </w:r>
            <w:r w:rsidRPr="00A97FE0">
              <w:rPr>
                <w:color w:val="auto"/>
              </w:rPr>
              <w:t xml:space="preserve"> na </w:t>
            </w:r>
            <w:proofErr w:type="spellStart"/>
            <w:r w:rsidRPr="00A97FE0">
              <w:rPr>
                <w:color w:val="auto"/>
              </w:rPr>
              <w:t>cloudové</w:t>
            </w:r>
            <w:proofErr w:type="spellEnd"/>
            <w:r w:rsidRPr="00A97FE0">
              <w:rPr>
                <w:color w:val="auto"/>
              </w:rPr>
              <w:t xml:space="preserve"> služby</w:t>
            </w:r>
          </w:p>
        </w:tc>
      </w:tr>
      <w:tr w:rsidR="00133EE4" w:rsidRPr="0071264A" w14:paraId="160DD867" w14:textId="30CD94E1"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59D55B32" w14:textId="4D1A8978" w:rsidR="00133EE4" w:rsidRPr="00A97FE0" w:rsidRDefault="00133EE4" w:rsidP="00133EE4">
            <w:pPr>
              <w:rPr>
                <w:color w:val="5B9BD5" w:themeColor="accent1"/>
              </w:rPr>
            </w:pPr>
            <w:r w:rsidRPr="00A97FE0">
              <w:rPr>
                <w:color w:val="5B9BD5" w:themeColor="accent1"/>
              </w:rPr>
              <w:t>Časové parametre</w:t>
            </w:r>
          </w:p>
        </w:tc>
      </w:tr>
      <w:tr w:rsidR="00133EE4" w:rsidRPr="0071264A" w14:paraId="0EC8F3C2" w14:textId="27427901"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9E7A4E7" w14:textId="77777777" w:rsidR="00133EE4" w:rsidRPr="0071264A" w:rsidRDefault="00133EE4" w:rsidP="00133EE4">
            <w:pPr>
              <w:rPr>
                <w:b w:val="0"/>
              </w:rPr>
            </w:pPr>
          </w:p>
        </w:tc>
        <w:tc>
          <w:tcPr>
            <w:tcW w:w="888" w:type="pct"/>
            <w:tcBorders>
              <w:left w:val="single" w:sz="18" w:space="0" w:color="auto"/>
            </w:tcBorders>
          </w:tcPr>
          <w:p w14:paraId="06AE0AC9" w14:textId="22BFF860" w:rsidR="00133EE4" w:rsidRPr="00FC1065" w:rsidRDefault="00133EE4" w:rsidP="00133EE4">
            <w:pPr>
              <w:jc w:val="left"/>
              <w:cnfStyle w:val="000000000000" w:firstRow="0" w:lastRow="0" w:firstColumn="0" w:lastColumn="0" w:oddVBand="0" w:evenVBand="0" w:oddHBand="0" w:evenHBand="0" w:firstRowFirstColumn="0" w:firstRowLastColumn="0" w:lastRowFirstColumn="0" w:lastRowLastColumn="0"/>
            </w:pPr>
            <w:r w:rsidRPr="00A13B20">
              <w:rPr>
                <w:color w:val="auto"/>
              </w:rPr>
              <w:t>Čas zriadenia</w:t>
            </w:r>
            <w:r>
              <w:rPr>
                <w:color w:val="auto"/>
              </w:rPr>
              <w:t xml:space="preserve"> poskytovanej</w:t>
            </w:r>
            <w:r w:rsidRPr="00A13B20">
              <w:rPr>
                <w:color w:val="auto"/>
              </w:rPr>
              <w:t xml:space="preserve"> služby</w:t>
            </w:r>
          </w:p>
        </w:tc>
        <w:tc>
          <w:tcPr>
            <w:tcW w:w="2273" w:type="pct"/>
            <w:tcBorders>
              <w:right w:val="single" w:sz="4" w:space="0" w:color="auto"/>
            </w:tcBorders>
          </w:tcPr>
          <w:p w14:paraId="5DE084D4" w14:textId="49527DDE" w:rsidR="00133EE4" w:rsidRPr="00FC1065" w:rsidRDefault="00726A12" w:rsidP="00133EE4">
            <w:pPr>
              <w:cnfStyle w:val="000000000000" w:firstRow="0" w:lastRow="0" w:firstColumn="0" w:lastColumn="0" w:oddVBand="0" w:evenVBand="0" w:oddHBand="0" w:evenHBand="0" w:firstRowFirstColumn="0" w:firstRowLastColumn="0" w:lastRowFirstColumn="0" w:lastRowLastColumn="0"/>
            </w:pPr>
            <w:r w:rsidRPr="0098447D">
              <w:rPr>
                <w:color w:val="auto"/>
              </w:rPr>
              <w:t xml:space="preserve">Vyjadruje čas vynaložený poskytovateľom služby na </w:t>
            </w:r>
            <w:r>
              <w:rPr>
                <w:color w:val="auto"/>
              </w:rPr>
              <w:t>zriadenie služby</w:t>
            </w:r>
          </w:p>
        </w:tc>
        <w:tc>
          <w:tcPr>
            <w:tcW w:w="825" w:type="pct"/>
            <w:tcBorders>
              <w:right w:val="single" w:sz="4" w:space="0" w:color="auto"/>
            </w:tcBorders>
          </w:tcPr>
          <w:p w14:paraId="0954A19F" w14:textId="7CB3847D" w:rsidR="00133EE4" w:rsidRPr="00FC1065" w:rsidRDefault="00726A12" w:rsidP="00133EE4">
            <w:pPr>
              <w:cnfStyle w:val="000000000000" w:firstRow="0" w:lastRow="0" w:firstColumn="0" w:lastColumn="0" w:oddVBand="0" w:evenVBand="0" w:oddHBand="0" w:evenHBand="0" w:firstRowFirstColumn="0" w:firstRowLastColumn="0" w:lastRowFirstColumn="0" w:lastRowLastColumn="0"/>
            </w:pPr>
            <w:r>
              <w:t>5 hodín</w:t>
            </w:r>
          </w:p>
        </w:tc>
        <w:tc>
          <w:tcPr>
            <w:tcW w:w="468" w:type="pct"/>
            <w:tcBorders>
              <w:right w:val="single" w:sz="4" w:space="0" w:color="auto"/>
            </w:tcBorders>
          </w:tcPr>
          <w:p w14:paraId="3C28EF49" w14:textId="0DEE9D42" w:rsidR="00133EE4" w:rsidRDefault="00726A12" w:rsidP="00133EE4">
            <w:pPr>
              <w:cnfStyle w:val="000000000000" w:firstRow="0" w:lastRow="0" w:firstColumn="0" w:lastColumn="0" w:oddVBand="0" w:evenVBand="0" w:oddHBand="0" w:evenHBand="0" w:firstRowFirstColumn="0" w:firstRowLastColumn="0" w:lastRowFirstColumn="0" w:lastRowLastColumn="0"/>
            </w:pPr>
            <w:r>
              <w:t>hodina</w:t>
            </w:r>
          </w:p>
        </w:tc>
      </w:tr>
      <w:tr w:rsidR="00133EE4" w:rsidRPr="0071264A" w14:paraId="6C1493D1" w14:textId="097087C8"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3D15C957" w14:textId="34D30FE4" w:rsidR="00133EE4" w:rsidRDefault="00133EE4" w:rsidP="00133EE4">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30119DFA" w14:textId="77777777"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6BF293B6" w14:textId="77777777" w:rsidR="00133EE4" w:rsidRPr="0071264A" w:rsidRDefault="00133EE4" w:rsidP="00133EE4">
            <w:pPr>
              <w:rPr>
                <w:b w:val="0"/>
              </w:rPr>
            </w:pPr>
          </w:p>
        </w:tc>
        <w:tc>
          <w:tcPr>
            <w:tcW w:w="888" w:type="pct"/>
            <w:tcBorders>
              <w:left w:val="single" w:sz="18" w:space="0" w:color="auto"/>
            </w:tcBorders>
          </w:tcPr>
          <w:p w14:paraId="54199C16" w14:textId="7EDE2482" w:rsidR="00133EE4" w:rsidRDefault="00133EE4" w:rsidP="00133EE4">
            <w:pPr>
              <w:jc w:val="left"/>
              <w:cnfStyle w:val="000000000000" w:firstRow="0" w:lastRow="0" w:firstColumn="0" w:lastColumn="0" w:oddVBand="0" w:evenVBand="0" w:oddHBand="0" w:evenHBand="0" w:firstRowFirstColumn="0" w:firstRowLastColumn="0" w:lastRowFirstColumn="0" w:lastRowLastColumn="0"/>
            </w:pPr>
            <w:r w:rsidRPr="0098447D">
              <w:rPr>
                <w:color w:val="auto"/>
              </w:rPr>
              <w:t>Kvalitatívne prínosy</w:t>
            </w:r>
          </w:p>
        </w:tc>
        <w:tc>
          <w:tcPr>
            <w:tcW w:w="2273" w:type="pct"/>
            <w:tcBorders>
              <w:right w:val="single" w:sz="4" w:space="0" w:color="auto"/>
            </w:tcBorders>
          </w:tcPr>
          <w:p w14:paraId="7585D247" w14:textId="2269813E" w:rsidR="00133EE4" w:rsidRDefault="00133EE4" w:rsidP="00133EE4">
            <w:pPr>
              <w:cnfStyle w:val="000000000000" w:firstRow="0" w:lastRow="0" w:firstColumn="0" w:lastColumn="0" w:oddVBand="0" w:evenVBand="0" w:oddHBand="0" w:evenHBand="0" w:firstRowFirstColumn="0" w:firstRowLastColumn="0" w:lastRowFirstColumn="0" w:lastRowLastColumn="0"/>
            </w:pPr>
            <w:r w:rsidRPr="0098447D">
              <w:rPr>
                <w:color w:val="auto"/>
              </w:rPr>
              <w:t xml:space="preserve">Kvalitatívny alebo iný významný prínos </w:t>
            </w:r>
            <w:r>
              <w:rPr>
                <w:color w:val="auto"/>
              </w:rPr>
              <w:t xml:space="preserve">riešenia </w:t>
            </w:r>
            <w:proofErr w:type="spellStart"/>
            <w:r>
              <w:rPr>
                <w:color w:val="auto"/>
              </w:rPr>
              <w:t>cloudovej</w:t>
            </w:r>
            <w:proofErr w:type="spellEnd"/>
            <w:r>
              <w:rPr>
                <w:color w:val="auto"/>
              </w:rPr>
              <w:t xml:space="preserve"> služby</w:t>
            </w:r>
            <w:r w:rsidRPr="0098447D">
              <w:rPr>
                <w:color w:val="auto"/>
              </w:rPr>
              <w:t xml:space="preserve"> v peňažnom vyjadrení, ktorý nie je možné vyjadriť predchádzajúcimi parametrami.</w:t>
            </w:r>
          </w:p>
        </w:tc>
        <w:tc>
          <w:tcPr>
            <w:tcW w:w="825" w:type="pct"/>
            <w:tcBorders>
              <w:right w:val="single" w:sz="4" w:space="0" w:color="auto"/>
            </w:tcBorders>
          </w:tcPr>
          <w:p w14:paraId="29E0E947" w14:textId="77777777" w:rsidR="00133EE4" w:rsidRPr="00751B66" w:rsidRDefault="00133EE4" w:rsidP="00133EE4">
            <w:pPr>
              <w:cnfStyle w:val="000000000000" w:firstRow="0" w:lastRow="0" w:firstColumn="0" w:lastColumn="0" w:oddVBand="0" w:evenVBand="0" w:oddHBand="0" w:evenHBand="0" w:firstRowFirstColumn="0" w:firstRowLastColumn="0" w:lastRowFirstColumn="0" w:lastRowLastColumn="0"/>
              <w:rPr>
                <w:i/>
              </w:rPr>
            </w:pPr>
          </w:p>
        </w:tc>
        <w:tc>
          <w:tcPr>
            <w:tcW w:w="468" w:type="pct"/>
            <w:tcBorders>
              <w:right w:val="single" w:sz="4" w:space="0" w:color="auto"/>
            </w:tcBorders>
          </w:tcPr>
          <w:p w14:paraId="34620975" w14:textId="77777777" w:rsidR="00133EE4" w:rsidRDefault="00133EE4" w:rsidP="00133EE4">
            <w:pPr>
              <w:cnfStyle w:val="000000000000" w:firstRow="0" w:lastRow="0" w:firstColumn="0" w:lastColumn="0" w:oddVBand="0" w:evenVBand="0" w:oddHBand="0" w:evenHBand="0" w:firstRowFirstColumn="0" w:firstRowLastColumn="0" w:lastRowFirstColumn="0" w:lastRowLastColumn="0"/>
              <w:rPr>
                <w:i/>
              </w:rPr>
            </w:pPr>
          </w:p>
        </w:tc>
      </w:tr>
      <w:tr w:rsidR="00133EE4" w:rsidRPr="0071264A" w14:paraId="6142602E" w14:textId="3120F9BF"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5919F019" w14:textId="5863CE16" w:rsidR="00133EE4" w:rsidRPr="00274028" w:rsidRDefault="00133EE4" w:rsidP="00133EE4">
            <w:pPr>
              <w:rPr>
                <w:color w:val="5B9BD5" w:themeColor="accent1"/>
              </w:rPr>
            </w:pPr>
            <w:proofErr w:type="spellStart"/>
            <w:r w:rsidRPr="00274028">
              <w:rPr>
                <w:color w:val="5B9BD5" w:themeColor="accent1"/>
              </w:rPr>
              <w:t>Kvantitívne</w:t>
            </w:r>
            <w:proofErr w:type="spellEnd"/>
            <w:r w:rsidRPr="00274028">
              <w:rPr>
                <w:color w:val="5B9BD5" w:themeColor="accent1"/>
              </w:rPr>
              <w:t xml:space="preserve"> parametre</w:t>
            </w:r>
          </w:p>
        </w:tc>
      </w:tr>
      <w:tr w:rsidR="00133EE4" w:rsidRPr="0071264A" w14:paraId="303C7BC0" w14:textId="531CD582"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7A0F06AE" w14:textId="77777777" w:rsidR="00133EE4" w:rsidRPr="0071264A" w:rsidRDefault="00133EE4" w:rsidP="00133EE4">
            <w:pPr>
              <w:rPr>
                <w:b w:val="0"/>
              </w:rPr>
            </w:pPr>
          </w:p>
        </w:tc>
        <w:tc>
          <w:tcPr>
            <w:tcW w:w="888" w:type="pct"/>
            <w:tcBorders>
              <w:left w:val="single" w:sz="18" w:space="0" w:color="auto"/>
            </w:tcBorders>
          </w:tcPr>
          <w:p w14:paraId="2D80411D" w14:textId="31A45BE0" w:rsidR="00133EE4" w:rsidRPr="00274028" w:rsidRDefault="0005709C" w:rsidP="00685896">
            <w:pPr>
              <w:jc w:val="left"/>
              <w:cnfStyle w:val="000000000000" w:firstRow="0" w:lastRow="0" w:firstColumn="0" w:lastColumn="0" w:oddVBand="0" w:evenVBand="0" w:oddHBand="0" w:evenHBand="0" w:firstRowFirstColumn="0" w:firstRowLastColumn="0" w:lastRowFirstColumn="0" w:lastRowLastColumn="0"/>
            </w:pPr>
            <w:r>
              <w:rPr>
                <w:color w:val="auto"/>
              </w:rPr>
              <w:t>P</w:t>
            </w:r>
            <w:r w:rsidR="00133EE4" w:rsidRPr="00274028">
              <w:rPr>
                <w:color w:val="auto"/>
              </w:rPr>
              <w:t xml:space="preserve">očet </w:t>
            </w:r>
            <w:r w:rsidR="00726A12">
              <w:rPr>
                <w:color w:val="auto"/>
              </w:rPr>
              <w:t xml:space="preserve">poskytnutých </w:t>
            </w:r>
            <w:proofErr w:type="spellStart"/>
            <w:r w:rsidR="00726A12">
              <w:rPr>
                <w:color w:val="auto"/>
              </w:rPr>
              <w:t>cloudových</w:t>
            </w:r>
            <w:proofErr w:type="spellEnd"/>
            <w:r w:rsidR="00726A12">
              <w:rPr>
                <w:color w:val="auto"/>
              </w:rPr>
              <w:t xml:space="preserve"> služieb</w:t>
            </w:r>
            <w:r w:rsidR="00133EE4" w:rsidRPr="00274028">
              <w:rPr>
                <w:color w:val="auto"/>
              </w:rPr>
              <w:t xml:space="preserve"> </w:t>
            </w:r>
          </w:p>
        </w:tc>
        <w:tc>
          <w:tcPr>
            <w:tcW w:w="2273" w:type="pct"/>
            <w:tcBorders>
              <w:right w:val="single" w:sz="4" w:space="0" w:color="auto"/>
            </w:tcBorders>
          </w:tcPr>
          <w:p w14:paraId="2C4ED1C6" w14:textId="3A5F0A6F" w:rsidR="00133EE4" w:rsidRPr="00274028" w:rsidRDefault="00133EE4">
            <w:pPr>
              <w:cnfStyle w:val="000000000000" w:firstRow="0" w:lastRow="0" w:firstColumn="0" w:lastColumn="0" w:oddVBand="0" w:evenVBand="0" w:oddHBand="0" w:evenHBand="0" w:firstRowFirstColumn="0" w:firstRowLastColumn="0" w:lastRowFirstColumn="0" w:lastRowLastColumn="0"/>
            </w:pPr>
            <w:r w:rsidRPr="00274028">
              <w:rPr>
                <w:color w:val="auto"/>
              </w:rPr>
              <w:t>Parameter vyjadruje</w:t>
            </w:r>
            <w:r>
              <w:rPr>
                <w:color w:val="auto"/>
              </w:rPr>
              <w:t xml:space="preserve"> predpokladaný</w:t>
            </w:r>
            <w:r w:rsidRPr="00274028">
              <w:rPr>
                <w:color w:val="auto"/>
              </w:rPr>
              <w:t xml:space="preserve"> počet </w:t>
            </w:r>
            <w:r w:rsidR="00726A12">
              <w:rPr>
                <w:color w:val="auto"/>
              </w:rPr>
              <w:t xml:space="preserve">poskytnutých </w:t>
            </w:r>
            <w:proofErr w:type="spellStart"/>
            <w:r w:rsidR="00726A12">
              <w:rPr>
                <w:color w:val="auto"/>
              </w:rPr>
              <w:t>cloudových</w:t>
            </w:r>
            <w:proofErr w:type="spellEnd"/>
            <w:r>
              <w:rPr>
                <w:color w:val="auto"/>
              </w:rPr>
              <w:t xml:space="preserve"> služ</w:t>
            </w:r>
            <w:r w:rsidR="00726A12">
              <w:rPr>
                <w:color w:val="auto"/>
              </w:rPr>
              <w:t>ieb</w:t>
            </w:r>
            <w:r>
              <w:rPr>
                <w:color w:val="auto"/>
              </w:rPr>
              <w:t xml:space="preserve"> počas </w:t>
            </w:r>
            <w:r w:rsidR="0005709C">
              <w:rPr>
                <w:color w:val="auto"/>
              </w:rPr>
              <w:t>jedného roka</w:t>
            </w:r>
            <w:r>
              <w:rPr>
                <w:color w:val="auto"/>
              </w:rPr>
              <w:t xml:space="preserve">. </w:t>
            </w:r>
          </w:p>
        </w:tc>
        <w:tc>
          <w:tcPr>
            <w:tcW w:w="825" w:type="pct"/>
            <w:tcBorders>
              <w:right w:val="single" w:sz="4" w:space="0" w:color="auto"/>
            </w:tcBorders>
          </w:tcPr>
          <w:p w14:paraId="66D26368" w14:textId="4A89074D" w:rsidR="00133EE4" w:rsidRPr="00274028" w:rsidRDefault="00133EE4" w:rsidP="00133EE4">
            <w:pPr>
              <w:cnfStyle w:val="000000000000" w:firstRow="0" w:lastRow="0" w:firstColumn="0" w:lastColumn="0" w:oddVBand="0" w:evenVBand="0" w:oddHBand="0" w:evenHBand="0" w:firstRowFirstColumn="0" w:firstRowLastColumn="0" w:lastRowFirstColumn="0" w:lastRowLastColumn="0"/>
            </w:pPr>
            <w:r>
              <w:t>10</w:t>
            </w:r>
          </w:p>
        </w:tc>
        <w:tc>
          <w:tcPr>
            <w:tcW w:w="468" w:type="pct"/>
            <w:tcBorders>
              <w:right w:val="single" w:sz="4" w:space="0" w:color="auto"/>
            </w:tcBorders>
          </w:tcPr>
          <w:p w14:paraId="1437C1AF" w14:textId="6B201B8A" w:rsidR="00133EE4" w:rsidRDefault="0005709C" w:rsidP="00685896">
            <w:pPr>
              <w:cnfStyle w:val="000000000000" w:firstRow="0" w:lastRow="0" w:firstColumn="0" w:lastColumn="0" w:oddVBand="0" w:evenVBand="0" w:oddHBand="0" w:evenHBand="0" w:firstRowFirstColumn="0" w:firstRowLastColumn="0" w:lastRowFirstColumn="0" w:lastRowLastColumn="0"/>
            </w:pPr>
            <w:r>
              <w:t>p</w:t>
            </w:r>
            <w:r w:rsidR="00133EE4">
              <w:t>očet</w:t>
            </w:r>
            <w:r>
              <w:t>/rok</w:t>
            </w:r>
          </w:p>
        </w:tc>
      </w:tr>
      <w:tr w:rsidR="00133EE4" w:rsidRPr="0071264A" w14:paraId="6C4245AB" w14:textId="1CB8A15D"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10A2CAAA" w14:textId="77777777" w:rsidR="00133EE4" w:rsidRPr="0071264A" w:rsidRDefault="00133EE4" w:rsidP="00133EE4">
            <w:pPr>
              <w:rPr>
                <w:b w:val="0"/>
              </w:rPr>
            </w:pPr>
          </w:p>
        </w:tc>
        <w:tc>
          <w:tcPr>
            <w:tcW w:w="888" w:type="pct"/>
            <w:tcBorders>
              <w:left w:val="single" w:sz="18" w:space="0" w:color="auto"/>
            </w:tcBorders>
          </w:tcPr>
          <w:p w14:paraId="50459022" w14:textId="28000302" w:rsidR="00133EE4" w:rsidRPr="00FC1065" w:rsidRDefault="00133EE4" w:rsidP="00133EE4">
            <w:pPr>
              <w:jc w:val="left"/>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 xml:space="preserve">Výška </w:t>
            </w:r>
            <w:r>
              <w:rPr>
                <w:color w:val="auto"/>
              </w:rPr>
              <w:t>indikatívneho</w:t>
            </w:r>
            <w:r w:rsidRPr="00274028">
              <w:rPr>
                <w:color w:val="auto"/>
              </w:rPr>
              <w:t xml:space="preserve"> poplatku</w:t>
            </w:r>
            <w:r>
              <w:rPr>
                <w:rStyle w:val="Odkaznapoznmkupodiarou"/>
                <w:color w:val="auto"/>
              </w:rPr>
              <w:footnoteReference w:id="1"/>
            </w:r>
          </w:p>
        </w:tc>
        <w:tc>
          <w:tcPr>
            <w:tcW w:w="2273" w:type="pct"/>
            <w:tcBorders>
              <w:right w:val="single" w:sz="4" w:space="0" w:color="auto"/>
            </w:tcBorders>
          </w:tcPr>
          <w:p w14:paraId="26A28B1E" w14:textId="5C9AE73F" w:rsidR="00133EE4"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Pr>
                <w:color w:val="auto"/>
              </w:rPr>
              <w:t>Indikatívny udaj v €/</w:t>
            </w:r>
            <w:r w:rsidR="00726A12">
              <w:rPr>
                <w:color w:val="auto"/>
              </w:rPr>
              <w:t>rok</w:t>
            </w:r>
            <w:r>
              <w:rPr>
                <w:color w:val="auto"/>
              </w:rPr>
              <w:t xml:space="preserve">, ktorý vyjadruje hodnotu ktorú by mali používatelia uhradiť tak aby poplatky za službu k jej výdavkom boli finančne udržateľné. </w:t>
            </w:r>
          </w:p>
          <w:p w14:paraId="17B740EB" w14:textId="6B9DF391" w:rsidR="00133EE4" w:rsidRPr="00FC1065" w:rsidRDefault="00726A12" w:rsidP="00133EE4">
            <w:pPr>
              <w:cnfStyle w:val="000000100000" w:firstRow="0" w:lastRow="0" w:firstColumn="0" w:lastColumn="0" w:oddVBand="0" w:evenVBand="0" w:oddHBand="1" w:evenHBand="0" w:firstRowFirstColumn="0" w:firstRowLastColumn="0" w:lastRowFirstColumn="0" w:lastRowLastColumn="0"/>
              <w:rPr>
                <w:color w:val="auto"/>
              </w:rPr>
            </w:pPr>
            <w:r>
              <w:rPr>
                <w:color w:val="auto"/>
              </w:rPr>
              <w:t>Pre nastavenie optimálnych hodnôt je vhodné využiť analýzu citlivosti na tento parameter.</w:t>
            </w:r>
          </w:p>
        </w:tc>
        <w:tc>
          <w:tcPr>
            <w:tcW w:w="825" w:type="pct"/>
            <w:tcBorders>
              <w:right w:val="single" w:sz="4" w:space="0" w:color="auto"/>
            </w:tcBorders>
          </w:tcPr>
          <w:p w14:paraId="1261F5F8" w14:textId="5FAD393E" w:rsidR="00133EE4" w:rsidRPr="00FC1065" w:rsidRDefault="00133EE4" w:rsidP="00685896">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72132FC5" w14:textId="744B9BD1" w:rsidR="00133EE4" w:rsidRDefault="00133EE4" w:rsidP="00133EE4">
            <w:pPr>
              <w:keepNext/>
              <w:cnfStyle w:val="000000100000" w:firstRow="0" w:lastRow="0" w:firstColumn="0" w:lastColumn="0" w:oddVBand="0" w:evenVBand="0" w:oddHBand="1" w:evenHBand="0" w:firstRowFirstColumn="0" w:firstRowLastColumn="0" w:lastRowFirstColumn="0" w:lastRowLastColumn="0"/>
            </w:pPr>
            <w:r>
              <w:t>€</w:t>
            </w:r>
            <w:r w:rsidR="00726A12">
              <w:t>/rok</w:t>
            </w:r>
          </w:p>
        </w:tc>
      </w:tr>
      <w:tr w:rsidR="00726A12" w:rsidRPr="0071264A" w14:paraId="166993CD" w14:textId="77777777" w:rsidTr="00726A12">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2E84972F" w14:textId="77777777" w:rsidR="00726A12" w:rsidRPr="001D4F63" w:rsidRDefault="00726A12" w:rsidP="00C067C9">
            <w:pPr>
              <w:rPr>
                <w:sz w:val="20"/>
                <w:szCs w:val="20"/>
              </w:rPr>
            </w:pPr>
          </w:p>
        </w:tc>
        <w:tc>
          <w:tcPr>
            <w:tcW w:w="888" w:type="pct"/>
            <w:tcBorders>
              <w:left w:val="single" w:sz="18" w:space="0" w:color="auto"/>
            </w:tcBorders>
          </w:tcPr>
          <w:p w14:paraId="2FA8A251" w14:textId="27A87362" w:rsidR="00726A12" w:rsidRPr="0098447D" w:rsidRDefault="00726A12" w:rsidP="00685896">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Počet zamestnancov </w:t>
            </w:r>
            <w:r>
              <w:rPr>
                <w:color w:val="auto"/>
              </w:rPr>
              <w:t>potrebných na zriadenie služby</w:t>
            </w:r>
          </w:p>
        </w:tc>
        <w:tc>
          <w:tcPr>
            <w:tcW w:w="2273" w:type="pct"/>
            <w:tcBorders>
              <w:right w:val="single" w:sz="4" w:space="0" w:color="auto"/>
            </w:tcBorders>
          </w:tcPr>
          <w:p w14:paraId="7367D8C3" w14:textId="578C917F" w:rsidR="00726A12" w:rsidRPr="0098447D" w:rsidRDefault="00726A12">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Priemerný počet zamestnancov na strane poskytovateľa služby, ktorí sú priamo zapojení do </w:t>
            </w:r>
            <w:r>
              <w:rPr>
                <w:color w:val="auto"/>
              </w:rPr>
              <w:t>zriadenie služby</w:t>
            </w:r>
            <w:r w:rsidRPr="0098447D">
              <w:rPr>
                <w:color w:val="auto"/>
              </w:rPr>
              <w:t>. Parameter udáva iba počet zamestnancov, vykonávajúcich exekutívnu agendu. Do výpočtu nie sú zahrnutí zamestnanci zabezpečujúci riadiace a podporné činnosti.</w:t>
            </w:r>
          </w:p>
        </w:tc>
        <w:tc>
          <w:tcPr>
            <w:tcW w:w="825" w:type="pct"/>
            <w:tcBorders>
              <w:right w:val="single" w:sz="4" w:space="0" w:color="auto"/>
            </w:tcBorders>
          </w:tcPr>
          <w:p w14:paraId="71F39AC9" w14:textId="77777777" w:rsidR="00726A12" w:rsidRPr="00FC1065" w:rsidRDefault="00726A12" w:rsidP="00C067C9">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29860B3B" w14:textId="77777777" w:rsidR="00726A12" w:rsidRPr="00FC1065" w:rsidRDefault="00726A12" w:rsidP="00C067C9">
            <w:pPr>
              <w:cnfStyle w:val="000000000000" w:firstRow="0" w:lastRow="0" w:firstColumn="0" w:lastColumn="0" w:oddVBand="0" w:evenVBand="0" w:oddHBand="0" w:evenHBand="0" w:firstRowFirstColumn="0" w:firstRowLastColumn="0" w:lastRowFirstColumn="0" w:lastRowLastColumn="0"/>
            </w:pPr>
            <w:r>
              <w:t>počet</w:t>
            </w:r>
          </w:p>
        </w:tc>
      </w:tr>
    </w:tbl>
    <w:p w14:paraId="05D08D65" w14:textId="77777777" w:rsidR="00FF62B9" w:rsidRDefault="00FF62B9" w:rsidP="00FF62B9">
      <w:pPr>
        <w:sectPr w:rsidR="00FF62B9" w:rsidSect="00FF62B9">
          <w:pgSz w:w="16838" w:h="11906" w:orient="landscape"/>
          <w:pgMar w:top="1417" w:right="1417" w:bottom="1417" w:left="1417" w:header="708" w:footer="708" w:gutter="0"/>
          <w:cols w:space="708"/>
          <w:docGrid w:linePitch="360"/>
        </w:sectPr>
      </w:pPr>
    </w:p>
    <w:p w14:paraId="4743D0C9" w14:textId="77777777" w:rsidR="00467622" w:rsidRDefault="00467622" w:rsidP="00467622">
      <w:pPr>
        <w:pStyle w:val="Nadpis2"/>
      </w:pPr>
      <w:bookmarkStart w:id="26" w:name="_Toc422390677"/>
      <w:r>
        <w:t>Výdavky</w:t>
      </w:r>
      <w:bookmarkEnd w:id="26"/>
    </w:p>
    <w:p w14:paraId="1C0897D3" w14:textId="77777777" w:rsidR="00467622" w:rsidRPr="00B403CD" w:rsidRDefault="00467622" w:rsidP="00467622">
      <w:r w:rsidRPr="00B403CD">
        <w:t>Celkové výdavky projektu vyjadrujú hodnotu všetkých výdavkov, priamo súvisiacich</w:t>
      </w:r>
      <w:r w:rsidRPr="00B403CD">
        <w:br/>
        <w:t xml:space="preserve">s projektom bez ohľadu nato či sú alebo nie sú financované z EŠIF. Výdavky projektu delíme na: </w:t>
      </w:r>
    </w:p>
    <w:p w14:paraId="10B535F9" w14:textId="77777777" w:rsidR="00467622" w:rsidRPr="00B403CD" w:rsidRDefault="00467622" w:rsidP="004C46AB">
      <w:pPr>
        <w:numPr>
          <w:ilvl w:val="0"/>
          <w:numId w:val="3"/>
        </w:numPr>
        <w:spacing w:after="0" w:line="240" w:lineRule="auto"/>
        <w:rPr>
          <w:b/>
        </w:rPr>
      </w:pPr>
      <w:r w:rsidRPr="00B403CD">
        <w:rPr>
          <w:b/>
        </w:rPr>
        <w:t xml:space="preserve">Investičné výdavky – </w:t>
      </w:r>
      <w:r w:rsidRPr="00B403CD">
        <w:t>zahrňujeme sem všetky</w:t>
      </w:r>
      <w:r>
        <w:t xml:space="preserve"> </w:t>
      </w:r>
      <w:r w:rsidRPr="00B403CD">
        <w:t xml:space="preserve">oprávnené aj neoprávnené kapitálové  výdavky, ktoré vzniknú behom realizácie projektu. Primárne ich rozdeľujeme na fixné pevné investície (budovy, stroje, pozemky) nábehové investície (prípravné štúdie vrátane štúdií uskutočniteľnosti, konzultačné služby atď.) a zmeny prevádzkového kapitálu behom referenčného obdobia. </w:t>
      </w:r>
    </w:p>
    <w:p w14:paraId="12E44D67" w14:textId="77777777" w:rsidR="00467622" w:rsidRPr="00B403CD" w:rsidRDefault="00467622" w:rsidP="00467622">
      <w:pPr>
        <w:ind w:left="720"/>
      </w:pPr>
      <w:r w:rsidRPr="00B403CD">
        <w:t xml:space="preserve">Celkové investičné výdavky sú zahrnuté do výpočtu finančnej medzery a je potrebné sledovať prípadné zmeny ich výšky. V prípade znižovania investičných výdavkov dochádza aj k zníženiu finančnej medzery tým je nižšia aj maximálnu možná podporu. Náklady na pravidelné </w:t>
      </w:r>
      <w:r w:rsidRPr="00B403CD">
        <w:rPr>
          <w:b/>
        </w:rPr>
        <w:t>reinvestície</w:t>
      </w:r>
      <w:r w:rsidRPr="00B403CD">
        <w:t xml:space="preserve"> alebo </w:t>
      </w:r>
      <w:r w:rsidRPr="00B403CD">
        <w:rPr>
          <w:b/>
        </w:rPr>
        <w:t>modernizáci</w:t>
      </w:r>
      <w:r w:rsidRPr="00B403CD">
        <w:t>u východiskových aktív sú považované za investičné výdavky, ktoré nie sú oprávnené (avšak sú zahrnuté v celkových investičných výdavkoch).</w:t>
      </w:r>
    </w:p>
    <w:p w14:paraId="5B7A27E2" w14:textId="77777777" w:rsidR="00467622" w:rsidRPr="00B403CD" w:rsidRDefault="00467622" w:rsidP="004C46AB">
      <w:pPr>
        <w:numPr>
          <w:ilvl w:val="0"/>
          <w:numId w:val="3"/>
        </w:numPr>
        <w:spacing w:after="0" w:line="240" w:lineRule="auto"/>
      </w:pPr>
      <w:r w:rsidRPr="00B403CD">
        <w:rPr>
          <w:b/>
        </w:rPr>
        <w:t>Prevádzkové výdavky</w:t>
      </w:r>
    </w:p>
    <w:p w14:paraId="7858DD2B" w14:textId="77777777" w:rsidR="00467622" w:rsidRPr="00B403CD" w:rsidRDefault="00467622" w:rsidP="00467622">
      <w:pPr>
        <w:ind w:left="720"/>
      </w:pPr>
      <w:r w:rsidRPr="00B403CD">
        <w:t>Prevádzkové výdavky zahŕňajú všetky predpokladané výdavky na nákup tovaru a služieb, ktoré nie sú investičného charakteru, pretože sú spotrebované v</w:t>
      </w:r>
      <w:r>
        <w:t> </w:t>
      </w:r>
      <w:r w:rsidRPr="00B403CD">
        <w:t>každom</w:t>
      </w:r>
      <w:r>
        <w:t xml:space="preserve"> účtovnom období</w:t>
      </w:r>
      <w:r w:rsidRPr="00B403CD">
        <w:t>. Patria sem:</w:t>
      </w:r>
    </w:p>
    <w:p w14:paraId="4ECBCF97" w14:textId="16F54602" w:rsidR="00467622" w:rsidRPr="00B403CD" w:rsidRDefault="00467622" w:rsidP="004C46AB">
      <w:pPr>
        <w:pStyle w:val="Odsekzoznamu"/>
        <w:numPr>
          <w:ilvl w:val="0"/>
          <w:numId w:val="5"/>
        </w:numPr>
      </w:pPr>
      <w:r w:rsidRPr="00B403CD">
        <w:t>priame náklady výroby (spotreba materiálu a služieb, personál, údržba, všeobecné</w:t>
      </w:r>
      <w:r>
        <w:t xml:space="preserve"> </w:t>
      </w:r>
      <w:r w:rsidRPr="00B403CD">
        <w:t>výrobné náklady);</w:t>
      </w:r>
    </w:p>
    <w:p w14:paraId="7BE7B290" w14:textId="371B59A7" w:rsidR="00467622" w:rsidRPr="00B403CD" w:rsidRDefault="00467622" w:rsidP="004C46AB">
      <w:pPr>
        <w:pStyle w:val="Odsekzoznamu"/>
        <w:numPr>
          <w:ilvl w:val="0"/>
          <w:numId w:val="5"/>
        </w:numPr>
      </w:pPr>
      <w:r w:rsidRPr="00B403CD">
        <w:t>administratívne a všeobecné výdavky;</w:t>
      </w:r>
    </w:p>
    <w:p w14:paraId="02BA2EEF" w14:textId="0D1C8201" w:rsidR="00467622" w:rsidRPr="00B403CD" w:rsidRDefault="00467622" w:rsidP="004C46AB">
      <w:pPr>
        <w:pStyle w:val="Odsekzoznamu"/>
        <w:numPr>
          <w:ilvl w:val="0"/>
          <w:numId w:val="5"/>
        </w:numPr>
      </w:pPr>
      <w:r w:rsidRPr="00B403CD">
        <w:t xml:space="preserve">predajné a distribučné výdavky. </w:t>
      </w:r>
    </w:p>
    <w:p w14:paraId="3BA73A9A" w14:textId="5CADEF90" w:rsidR="00467622" w:rsidRPr="00B403CD" w:rsidRDefault="00467622" w:rsidP="00467622">
      <w:pPr>
        <w:ind w:left="720"/>
      </w:pPr>
      <w:r w:rsidRPr="00B403CD">
        <w:t>Ich výška je závislá od objemu produkcie tovarov, alebo poskytnutých služieb. Pri každej položke prevádzkových výdavkov je vhodné rozlíšiť, či sa jedná o fixné alebo variabilné výdavky</w:t>
      </w:r>
      <w:r w:rsidR="00AD6514">
        <w:rPr>
          <w:rStyle w:val="Odkaznapoznmkupodiarou"/>
        </w:rPr>
        <w:footnoteReference w:id="2"/>
      </w:r>
    </w:p>
    <w:p w14:paraId="197FED22" w14:textId="77777777" w:rsidR="00467622" w:rsidRPr="00B403CD" w:rsidRDefault="00467622" w:rsidP="00467622">
      <w:r w:rsidRPr="00B403CD">
        <w:t>Na účely výpočtu diskontovaných čistých príjmov sa zohľadnia tieto náklady, ktoré vznikli v referenčnom období:</w:t>
      </w:r>
    </w:p>
    <w:p w14:paraId="5BB8EAE5" w14:textId="77777777" w:rsidR="00467622" w:rsidRPr="00B403CD" w:rsidRDefault="00467622" w:rsidP="004C46AB">
      <w:pPr>
        <w:numPr>
          <w:ilvl w:val="0"/>
          <w:numId w:val="4"/>
        </w:numPr>
        <w:spacing w:after="0" w:line="240" w:lineRule="auto"/>
      </w:pPr>
      <w:r w:rsidRPr="00B403CD">
        <w:rPr>
          <w:b/>
        </w:rPr>
        <w:t>reprodukčné náklady</w:t>
      </w:r>
      <w:r w:rsidRPr="00B403CD">
        <w:t xml:space="preserve"> zariadení s krátkou životnosťou zabezpečujúcich technické fungovanie operácie</w:t>
      </w:r>
    </w:p>
    <w:p w14:paraId="60184036" w14:textId="77777777" w:rsidR="00467622" w:rsidRPr="00B403CD" w:rsidRDefault="00467622" w:rsidP="004C46AB">
      <w:pPr>
        <w:numPr>
          <w:ilvl w:val="0"/>
          <w:numId w:val="4"/>
        </w:numPr>
        <w:spacing w:after="0" w:line="240" w:lineRule="auto"/>
      </w:pPr>
      <w:r w:rsidRPr="00B403CD">
        <w:rPr>
          <w:b/>
        </w:rPr>
        <w:t>fixné prevádzkové náklady</w:t>
      </w:r>
      <w:r w:rsidRPr="00B403CD">
        <w:t>, vrátane nákladov na údržbu, ako sú náklady na zamestnancov, náklady na údržbu, opravy, všeobecné riadenie a správu a poistenie</w:t>
      </w:r>
    </w:p>
    <w:p w14:paraId="1D643C79" w14:textId="77777777" w:rsidR="00467622" w:rsidRPr="00B403CD" w:rsidRDefault="00467622" w:rsidP="004C46AB">
      <w:pPr>
        <w:numPr>
          <w:ilvl w:val="0"/>
          <w:numId w:val="4"/>
        </w:numPr>
        <w:spacing w:after="0" w:line="240" w:lineRule="auto"/>
      </w:pPr>
      <w:r w:rsidRPr="00B403CD">
        <w:rPr>
          <w:b/>
        </w:rPr>
        <w:t>variabilné prevádzkové náklady</w:t>
      </w:r>
      <w:r w:rsidRPr="00B403CD">
        <w:t>, vrátane nákladov na údržbu, ako sú spotreba surovín, náklady na energie a iný spotrebný tovar a iná údržba a opravy potrebné na predĺženie životnosti operácie</w:t>
      </w:r>
    </w:p>
    <w:p w14:paraId="2970B42B" w14:textId="77777777" w:rsidR="00467622" w:rsidRPr="00B403CD" w:rsidRDefault="00467622" w:rsidP="00467622">
      <w:pPr>
        <w:ind w:left="720"/>
      </w:pPr>
    </w:p>
    <w:p w14:paraId="63BC90AA" w14:textId="77777777" w:rsidR="00467622" w:rsidRDefault="00467622" w:rsidP="00467622">
      <w:r>
        <w:t>P</w:t>
      </w:r>
      <w:r w:rsidRPr="00F06BAD">
        <w:t xml:space="preserve">rípadnú úsporu </w:t>
      </w:r>
      <w:r>
        <w:t>prevádzkových výdavkov</w:t>
      </w:r>
      <w:r w:rsidRPr="00F06BAD">
        <w:t xml:space="preserve"> vyvolanú projektom je potrebné zohľadniť. Ak táto úspora nie je vyvážená zodpovedajúcim znížením prevádzkových dotácií, musí byť započítaná pri výpočte finančnej medzery.</w:t>
      </w:r>
    </w:p>
    <w:p w14:paraId="76B99887" w14:textId="3B47DCC1" w:rsidR="00274E30" w:rsidRDefault="00274E30" w:rsidP="00274E30">
      <w:r>
        <w:t xml:space="preserve">Žiadateľ vypočíta náklady na poskytovanie služieb uvedených v projekte pre každú alternatívu, teda alternatívu A </w:t>
      </w:r>
      <w:proofErr w:type="spellStart"/>
      <w:r>
        <w:t>a</w:t>
      </w:r>
      <w:proofErr w:type="spellEnd"/>
      <w:r>
        <w:t xml:space="preserve"> alternatívu B. Náklady sa uvádzajú po rokoch počas celej životnosti projektu. Celkové náklady sú potom súčtom nákladov za jednotlivé roky.   </w:t>
      </w:r>
    </w:p>
    <w:p w14:paraId="39024613" w14:textId="40D4A4CA" w:rsidR="00274E30" w:rsidRPr="00274E30" w:rsidRDefault="00274E30" w:rsidP="00467622">
      <w:pPr>
        <w:sectPr w:rsidR="00274E30" w:rsidRPr="00274E30" w:rsidSect="00F80C77">
          <w:pgSz w:w="11906" w:h="16838"/>
          <w:pgMar w:top="1417" w:right="1417" w:bottom="1417" w:left="1417" w:header="708" w:footer="708" w:gutter="0"/>
          <w:cols w:space="708"/>
          <w:docGrid w:linePitch="360"/>
        </w:sectPr>
      </w:pPr>
      <m:oMathPara>
        <m:oMathParaPr>
          <m:jc m:val="left"/>
        </m:oMathParaPr>
        <m:oMath>
          <m:r>
            <w:rPr>
              <w:rFonts w:ascii="Cambria Math" w:hAnsi="Cambria Math"/>
            </w:rPr>
            <m:t>C=</m:t>
          </m:r>
          <m:nary>
            <m:naryPr>
              <m:chr m:val="∑"/>
              <m:limLoc m:val="undOvr"/>
              <m:ctrlPr>
                <w:rPr>
                  <w:rFonts w:ascii="Cambria Math" w:hAnsi="Cambria Math"/>
                  <w:i/>
                </w:rPr>
              </m:ctrlPr>
            </m:naryPr>
            <m:sub>
              <m:r>
                <w:rPr>
                  <w:rFonts w:ascii="Cambria Math" w:hAnsi="Cambria Math"/>
                </w:rPr>
                <m:t>t=0</m:t>
              </m:r>
            </m:sub>
            <m:sup>
              <m:r>
                <w:rPr>
                  <w:rFonts w:ascii="Cambria Math" w:hAnsi="Cambria Math"/>
                </w:rPr>
                <m:t>t</m:t>
              </m:r>
            </m:sup>
            <m:e>
              <m:r>
                <w:rPr>
                  <w:rFonts w:ascii="Cambria Math" w:hAnsi="Cambria Math"/>
                </w:rPr>
                <m:t>Ct</m:t>
              </m:r>
            </m:e>
          </m:nary>
          <m:r>
            <w:rPr>
              <w:rFonts w:ascii="Cambria Math" w:hAnsi="Cambria Math"/>
            </w:rPr>
            <m:t xml:space="preserve"> </m:t>
          </m:r>
        </m:oMath>
      </m:oMathPara>
    </w:p>
    <w:p w14:paraId="76B54AE3" w14:textId="6E133422" w:rsidR="00157EB4" w:rsidRDefault="00157EB4" w:rsidP="00157EB4">
      <w:pPr>
        <w:pStyle w:val="Popis"/>
        <w:keepNext/>
        <w:jc w:val="left"/>
      </w:pPr>
      <w:bookmarkStart w:id="27" w:name="_Toc422390691"/>
      <w:r>
        <w:t xml:space="preserve">Tabuľka </w:t>
      </w:r>
      <w:r w:rsidR="00C067C9">
        <w:fldChar w:fldCharType="begin"/>
      </w:r>
      <w:r w:rsidR="00C067C9">
        <w:instrText xml:space="preserve"> SEQ Tabuľka \* ARABIC </w:instrText>
      </w:r>
      <w:r w:rsidR="00C067C9">
        <w:fldChar w:fldCharType="separate"/>
      </w:r>
      <w:r w:rsidR="00A66D5D">
        <w:rPr>
          <w:noProof/>
        </w:rPr>
        <w:t>2</w:t>
      </w:r>
      <w:r w:rsidR="00C067C9">
        <w:rPr>
          <w:noProof/>
        </w:rPr>
        <w:fldChar w:fldCharType="end"/>
      </w:r>
      <w:r>
        <w:t xml:space="preserve"> Náklady</w:t>
      </w:r>
      <w:bookmarkEnd w:id="27"/>
    </w:p>
    <w:tbl>
      <w:tblPr>
        <w:tblStyle w:val="GridTable6Colorful-Accent31"/>
        <w:tblW w:w="5000" w:type="pct"/>
        <w:tblLayout w:type="fixed"/>
        <w:tblLook w:val="04A0" w:firstRow="1" w:lastRow="0" w:firstColumn="1" w:lastColumn="0" w:noHBand="0" w:noVBand="1"/>
      </w:tblPr>
      <w:tblGrid>
        <w:gridCol w:w="1021"/>
        <w:gridCol w:w="5040"/>
        <w:gridCol w:w="3120"/>
        <w:gridCol w:w="2437"/>
        <w:gridCol w:w="2602"/>
      </w:tblGrid>
      <w:tr w:rsidR="004F1162" w:rsidRPr="0071264A" w14:paraId="0D151ECA" w14:textId="77777777" w:rsidTr="004F116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59"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6C044451" w14:textId="77777777" w:rsidR="00CC7824" w:rsidRPr="0071264A" w:rsidRDefault="00CC7824" w:rsidP="00A23397">
            <w:pPr>
              <w:jc w:val="left"/>
              <w:rPr>
                <w:color w:val="auto"/>
              </w:rPr>
            </w:pPr>
            <w:r>
              <w:rPr>
                <w:color w:val="auto"/>
              </w:rPr>
              <w:t>Typ projektu</w:t>
            </w:r>
          </w:p>
        </w:tc>
        <w:tc>
          <w:tcPr>
            <w:tcW w:w="1772" w:type="pct"/>
            <w:tcBorders>
              <w:top w:val="single" w:sz="18" w:space="0" w:color="auto"/>
              <w:left w:val="single" w:sz="4" w:space="0" w:color="auto"/>
              <w:bottom w:val="single" w:sz="18" w:space="0" w:color="auto"/>
            </w:tcBorders>
            <w:shd w:val="clear" w:color="auto" w:fill="A6A6A6" w:themeFill="background1" w:themeFillShade="A6"/>
          </w:tcPr>
          <w:p w14:paraId="7ABDCD96" w14:textId="3D87A6A2" w:rsidR="00CC7824" w:rsidRPr="0071264A" w:rsidRDefault="00CC7824" w:rsidP="00A23397">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Názov výdavku</w:t>
            </w:r>
          </w:p>
        </w:tc>
        <w:tc>
          <w:tcPr>
            <w:tcW w:w="1097" w:type="pct"/>
            <w:tcBorders>
              <w:top w:val="single" w:sz="18" w:space="0" w:color="auto"/>
              <w:bottom w:val="single" w:sz="18" w:space="0" w:color="auto"/>
              <w:right w:val="single" w:sz="18" w:space="0" w:color="auto"/>
            </w:tcBorders>
            <w:shd w:val="clear" w:color="auto" w:fill="A6A6A6" w:themeFill="background1" w:themeFillShade="A6"/>
          </w:tcPr>
          <w:p w14:paraId="5E84DE90" w14:textId="4F91711E" w:rsidR="00CC7824" w:rsidRPr="0071264A" w:rsidRDefault="00CC7824" w:rsidP="004F1162">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857" w:type="pct"/>
            <w:tcBorders>
              <w:top w:val="single" w:sz="18" w:space="0" w:color="auto"/>
              <w:left w:val="single" w:sz="18" w:space="0" w:color="auto"/>
              <w:bottom w:val="single" w:sz="4" w:space="0" w:color="auto"/>
              <w:right w:val="single" w:sz="18" w:space="0" w:color="auto"/>
            </w:tcBorders>
            <w:shd w:val="clear" w:color="auto" w:fill="A6A6A6" w:themeFill="background1" w:themeFillShade="A6"/>
          </w:tcPr>
          <w:p w14:paraId="2A5B29E2" w14:textId="2E0B2722" w:rsidR="00CC7824" w:rsidRDefault="00CC7824" w:rsidP="00A23397">
            <w:pPr>
              <w:cnfStyle w:val="100000000000" w:firstRow="1" w:lastRow="0" w:firstColumn="0" w:lastColumn="0" w:oddVBand="0" w:evenVBand="0" w:oddHBand="0" w:evenHBand="0" w:firstRowFirstColumn="0" w:firstRowLastColumn="0" w:lastRowFirstColumn="0" w:lastRowLastColumn="0"/>
            </w:pPr>
            <w:r>
              <w:rPr>
                <w:color w:val="auto"/>
              </w:rPr>
              <w:t>Alternatíva A</w:t>
            </w:r>
          </w:p>
        </w:tc>
        <w:tc>
          <w:tcPr>
            <w:tcW w:w="915" w:type="pct"/>
            <w:tcBorders>
              <w:top w:val="single" w:sz="18" w:space="0" w:color="auto"/>
              <w:bottom w:val="single" w:sz="4" w:space="0" w:color="auto"/>
              <w:right w:val="single" w:sz="18" w:space="0" w:color="auto"/>
            </w:tcBorders>
            <w:shd w:val="clear" w:color="auto" w:fill="A6A6A6" w:themeFill="background1" w:themeFillShade="A6"/>
          </w:tcPr>
          <w:p w14:paraId="06628857" w14:textId="6D4AB3E5" w:rsidR="00CC7824" w:rsidRPr="003A4E09" w:rsidRDefault="00CC7824" w:rsidP="00A23397">
            <w:pPr>
              <w:cnfStyle w:val="100000000000" w:firstRow="1" w:lastRow="0" w:firstColumn="0" w:lastColumn="0" w:oddVBand="0" w:evenVBand="0" w:oddHBand="0" w:evenHBand="0" w:firstRowFirstColumn="0" w:firstRowLastColumn="0" w:lastRowFirstColumn="0" w:lastRowLastColumn="0"/>
            </w:pPr>
            <w:r>
              <w:rPr>
                <w:color w:val="auto"/>
              </w:rPr>
              <w:t>Alternatíva B</w:t>
            </w:r>
          </w:p>
        </w:tc>
      </w:tr>
      <w:tr w:rsidR="00CC7824" w:rsidRPr="0071264A" w14:paraId="1C5F6C8D"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7E4AF329" w14:textId="3EAA58C4" w:rsidR="00CC7824" w:rsidRPr="003A4E09" w:rsidRDefault="00CC7824" w:rsidP="004F1162">
            <w:pPr>
              <w:jc w:val="left"/>
              <w:rPr>
                <w:sz w:val="24"/>
              </w:rPr>
            </w:pPr>
            <w:r w:rsidRPr="003A4E09">
              <w:rPr>
                <w:color w:val="auto"/>
                <w:sz w:val="24"/>
              </w:rPr>
              <w:t>Projekt zameraný na  životné situácie</w:t>
            </w:r>
          </w:p>
        </w:tc>
      </w:tr>
      <w:tr w:rsidR="00844752" w:rsidRPr="0071264A" w14:paraId="37292B32" w14:textId="77777777" w:rsidTr="004F1162">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bottom w:val="single" w:sz="4" w:space="0" w:color="auto"/>
              <w:right w:val="single" w:sz="4" w:space="0" w:color="auto"/>
            </w:tcBorders>
          </w:tcPr>
          <w:p w14:paraId="48DF3CB8" w14:textId="052FA160" w:rsidR="00844752" w:rsidRPr="00A97FE0" w:rsidRDefault="00AD6514" w:rsidP="004F1162">
            <w:pPr>
              <w:jc w:val="left"/>
              <w:rPr>
                <w:color w:val="5B9BD5" w:themeColor="accent1"/>
              </w:rPr>
            </w:pPr>
            <w:r>
              <w:rPr>
                <w:color w:val="5B9BD5" w:themeColor="accent1"/>
              </w:rPr>
              <w:t>Fixné</w:t>
            </w:r>
            <w:r w:rsidR="00844752" w:rsidRPr="00CC7824">
              <w:rPr>
                <w:color w:val="5B9BD5" w:themeColor="accent1"/>
              </w:rPr>
              <w:t xml:space="preserve"> výdavky</w:t>
            </w:r>
          </w:p>
        </w:tc>
      </w:tr>
      <w:tr w:rsidR="004F1162" w:rsidRPr="0071264A" w14:paraId="38BACA16"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304FFE58" w14:textId="77777777" w:rsidR="004F1162" w:rsidRPr="0071264A" w:rsidRDefault="004F1162" w:rsidP="004F1162">
            <w:pPr>
              <w:rPr>
                <w:color w:val="auto"/>
              </w:rPr>
            </w:pPr>
          </w:p>
        </w:tc>
        <w:tc>
          <w:tcPr>
            <w:tcW w:w="1772" w:type="pct"/>
            <w:tcBorders>
              <w:left w:val="single" w:sz="18" w:space="0" w:color="auto"/>
            </w:tcBorders>
          </w:tcPr>
          <w:p w14:paraId="07DD52A9" w14:textId="7984DB5A" w:rsidR="004F1162" w:rsidRPr="00FC1065" w:rsidRDefault="004F1162" w:rsidP="004F1162">
            <w:pPr>
              <w:jc w:val="left"/>
              <w:cnfStyle w:val="000000100000" w:firstRow="0" w:lastRow="0" w:firstColumn="0" w:lastColumn="0" w:oddVBand="0" w:evenVBand="0" w:oddHBand="1" w:evenHBand="0" w:firstRowFirstColumn="0" w:firstRowLastColumn="0" w:lastRowFirstColumn="0" w:lastRowLastColumn="0"/>
              <w:rPr>
                <w:color w:val="auto"/>
              </w:rPr>
            </w:pPr>
            <w:r w:rsidRPr="00E35943">
              <w:rPr>
                <w:color w:val="auto"/>
              </w:rPr>
              <w:t>Služby</w:t>
            </w:r>
          </w:p>
        </w:tc>
        <w:tc>
          <w:tcPr>
            <w:tcW w:w="1097" w:type="pct"/>
            <w:tcBorders>
              <w:right w:val="single" w:sz="4" w:space="0" w:color="auto"/>
            </w:tcBorders>
          </w:tcPr>
          <w:p w14:paraId="78E00740" w14:textId="77777777" w:rsidR="004F1162" w:rsidRPr="00274E30" w:rsidRDefault="004F1162" w:rsidP="004C46AB">
            <w:pPr>
              <w:pStyle w:val="Odsekzoznamu"/>
              <w:numPr>
                <w:ilvl w:val="0"/>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Prípravná a projektová dokumentácia</w:t>
            </w:r>
          </w:p>
          <w:p w14:paraId="45831052" w14:textId="77777777" w:rsidR="004F1162" w:rsidRPr="00B73260" w:rsidRDefault="004F1162" w:rsidP="004C46AB">
            <w:pPr>
              <w:pStyle w:val="Odsekzoznamu"/>
              <w:numPr>
                <w:ilvl w:val="0"/>
                <w:numId w:val="14"/>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Špeciálne služby</w:t>
            </w:r>
          </w:p>
          <w:p w14:paraId="5015ED2F"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Pr>
                <w:color w:val="auto"/>
              </w:rPr>
              <w:t>Osobné náklady</w:t>
            </w:r>
          </w:p>
          <w:p w14:paraId="74390447"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Tuzemské cestovné náhrady</w:t>
            </w:r>
          </w:p>
          <w:p w14:paraId="4A6620B0"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Školenia, kurzy, semináre, porady, konferencie, sympóziá</w:t>
            </w:r>
          </w:p>
          <w:p w14:paraId="5CE365F6" w14:textId="4DB341C3" w:rsidR="004F1162"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Propagácia, reklama a</w:t>
            </w:r>
            <w:r>
              <w:rPr>
                <w:color w:val="auto"/>
              </w:rPr>
              <w:t> </w:t>
            </w:r>
            <w:r w:rsidRPr="00B73260">
              <w:rPr>
                <w:color w:val="auto"/>
              </w:rPr>
              <w:t>inzercia</w:t>
            </w:r>
          </w:p>
          <w:p w14:paraId="5B68C13F" w14:textId="1ACB7878" w:rsidR="004F1162" w:rsidRPr="00FC1065"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Pr>
                <w:color w:val="auto"/>
              </w:rPr>
              <w:t> Náhrada mzdy a platu</w:t>
            </w:r>
          </w:p>
        </w:tc>
        <w:tc>
          <w:tcPr>
            <w:tcW w:w="857" w:type="pct"/>
            <w:tcBorders>
              <w:right w:val="single" w:sz="4" w:space="0" w:color="auto"/>
            </w:tcBorders>
          </w:tcPr>
          <w:p w14:paraId="5CCA6A59" w14:textId="25D0731D" w:rsidR="004F1162" w:rsidRDefault="004F1162" w:rsidP="004F1162">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5C5EB7B7" w14:textId="5BE2C5F0" w:rsidR="004F1162" w:rsidRDefault="004F1162" w:rsidP="004F1162">
            <w:pPr>
              <w:cnfStyle w:val="000000100000" w:firstRow="0" w:lastRow="0" w:firstColumn="0" w:lastColumn="0" w:oddVBand="0" w:evenVBand="0" w:oddHBand="1" w:evenHBand="0" w:firstRowFirstColumn="0" w:firstRowLastColumn="0" w:lastRowFirstColumn="0" w:lastRowLastColumn="0"/>
            </w:pPr>
          </w:p>
        </w:tc>
      </w:tr>
      <w:tr w:rsidR="004F1162" w:rsidRPr="0071264A" w14:paraId="16220116"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05E20ED" w14:textId="52DF87BB" w:rsidR="004F1162" w:rsidRPr="00274028" w:rsidRDefault="004F1162" w:rsidP="004F1162">
            <w:pPr>
              <w:jc w:val="left"/>
              <w:rPr>
                <w:color w:val="5B9BD5" w:themeColor="accent1"/>
              </w:rPr>
            </w:pPr>
            <w:r>
              <w:rPr>
                <w:color w:val="5B9BD5" w:themeColor="accent1"/>
              </w:rPr>
              <w:t>Variabilné výdavky</w:t>
            </w:r>
          </w:p>
        </w:tc>
      </w:tr>
      <w:tr w:rsidR="005E5978" w:rsidRPr="0071264A" w14:paraId="7E6CEBB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60A970DD" w14:textId="77777777" w:rsidR="005E5978" w:rsidRPr="0071264A" w:rsidRDefault="005E5978" w:rsidP="005E5978"/>
        </w:tc>
        <w:tc>
          <w:tcPr>
            <w:tcW w:w="1772" w:type="pct"/>
            <w:tcBorders>
              <w:left w:val="single" w:sz="18" w:space="0" w:color="auto"/>
            </w:tcBorders>
          </w:tcPr>
          <w:p w14:paraId="5F5BABDE" w14:textId="3160CB24" w:rsidR="005E5978" w:rsidRPr="00274028"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c>
          <w:tcPr>
            <w:tcW w:w="1097" w:type="pct"/>
            <w:tcBorders>
              <w:right w:val="single" w:sz="4" w:space="0" w:color="auto"/>
            </w:tcBorders>
          </w:tcPr>
          <w:p w14:paraId="798BDC87" w14:textId="695DE81C" w:rsidR="005E5978" w:rsidRPr="00FC1065" w:rsidRDefault="005E5978" w:rsidP="005E5978">
            <w:pPr>
              <w:jc w:val="left"/>
              <w:cnfStyle w:val="000000100000" w:firstRow="0" w:lastRow="0" w:firstColumn="0" w:lastColumn="0" w:oddVBand="0" w:evenVBand="0" w:oddHBand="1" w:evenHBand="0" w:firstRowFirstColumn="0" w:firstRowLastColumn="0" w:lastRowFirstColumn="0" w:lastRowLastColumn="0"/>
            </w:pPr>
          </w:p>
        </w:tc>
        <w:tc>
          <w:tcPr>
            <w:tcW w:w="857" w:type="pct"/>
            <w:tcBorders>
              <w:right w:val="single" w:sz="4" w:space="0" w:color="auto"/>
            </w:tcBorders>
          </w:tcPr>
          <w:p w14:paraId="05982E5E" w14:textId="451635F8" w:rsidR="005E5978" w:rsidRPr="00FC1065" w:rsidRDefault="005E5978" w:rsidP="005E5978">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3A37816C" w14:textId="46123F61" w:rsidR="005E5978" w:rsidRDefault="005E5978" w:rsidP="005E5978">
            <w:pPr>
              <w:cnfStyle w:val="000000100000" w:firstRow="0" w:lastRow="0" w:firstColumn="0" w:lastColumn="0" w:oddVBand="0" w:evenVBand="0" w:oddHBand="1" w:evenHBand="0" w:firstRowFirstColumn="0" w:firstRowLastColumn="0" w:lastRowFirstColumn="0" w:lastRowLastColumn="0"/>
            </w:pPr>
          </w:p>
        </w:tc>
      </w:tr>
      <w:tr w:rsidR="005E5978" w:rsidRPr="0071264A" w14:paraId="5A61AAE3"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0A6B8889" w14:textId="3FD3A310" w:rsidR="005E5978" w:rsidRDefault="005E5978" w:rsidP="005E5978">
            <w:pPr>
              <w:jc w:val="left"/>
            </w:pPr>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5E5978" w:rsidRPr="0071264A" w14:paraId="32F39897"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59126D2F" w14:textId="40A38571" w:rsidR="005E5978" w:rsidRPr="00A97FE0" w:rsidRDefault="005E5978" w:rsidP="005E5978">
            <w:pPr>
              <w:jc w:val="left"/>
              <w:rPr>
                <w:color w:val="5B9BD5" w:themeColor="accent1"/>
              </w:rPr>
            </w:pPr>
            <w:r>
              <w:rPr>
                <w:color w:val="5B9BD5" w:themeColor="accent1"/>
              </w:rPr>
              <w:t>Fixné</w:t>
            </w:r>
            <w:r w:rsidRPr="00CC7824">
              <w:rPr>
                <w:color w:val="5B9BD5" w:themeColor="accent1"/>
              </w:rPr>
              <w:t xml:space="preserve"> výdavky</w:t>
            </w:r>
          </w:p>
        </w:tc>
      </w:tr>
      <w:tr w:rsidR="005E5978" w:rsidRPr="0071264A" w14:paraId="0755AB16"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6319DA4" w14:textId="77777777" w:rsidR="005E5978" w:rsidRPr="001D4F63" w:rsidRDefault="005E5978" w:rsidP="005E5978">
            <w:pPr>
              <w:spacing w:after="0"/>
              <w:rPr>
                <w:sz w:val="20"/>
                <w:szCs w:val="20"/>
              </w:rPr>
            </w:pPr>
          </w:p>
        </w:tc>
        <w:tc>
          <w:tcPr>
            <w:tcW w:w="1772" w:type="pct"/>
            <w:tcBorders>
              <w:left w:val="single" w:sz="18" w:space="0" w:color="auto"/>
            </w:tcBorders>
          </w:tcPr>
          <w:p w14:paraId="78796CAC" w14:textId="73DE2768" w:rsidR="005E5978" w:rsidRPr="0098447D"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r>
              <w:rPr>
                <w:color w:val="auto"/>
              </w:rPr>
              <w:t>HW</w:t>
            </w:r>
          </w:p>
        </w:tc>
        <w:tc>
          <w:tcPr>
            <w:tcW w:w="1097" w:type="pct"/>
            <w:tcBorders>
              <w:right w:val="single" w:sz="4" w:space="0" w:color="auto"/>
            </w:tcBorders>
          </w:tcPr>
          <w:p w14:paraId="721BCA9D"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telekomunikačnej techniky</w:t>
            </w:r>
          </w:p>
          <w:p w14:paraId="32BAD91E"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výpočtovej techniky</w:t>
            </w:r>
          </w:p>
          <w:p w14:paraId="2DE04654"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Modernizácia výpočtovej techniky</w:t>
            </w:r>
          </w:p>
          <w:p w14:paraId="654B095A" w14:textId="08681EBE" w:rsidR="005E5978" w:rsidRPr="0098447D"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Modernizácia telekomunikačnej techniky</w:t>
            </w:r>
          </w:p>
        </w:tc>
        <w:tc>
          <w:tcPr>
            <w:tcW w:w="857" w:type="pct"/>
            <w:vMerge w:val="restart"/>
            <w:tcBorders>
              <w:right w:val="single" w:sz="4" w:space="0" w:color="auto"/>
            </w:tcBorders>
          </w:tcPr>
          <w:p w14:paraId="0AB2C01A" w14:textId="1CEAA61A" w:rsidR="005E5978" w:rsidRPr="00FC1065" w:rsidRDefault="005E5978" w:rsidP="005E5978">
            <w:pPr>
              <w:spacing w:after="0"/>
              <w:cnfStyle w:val="000000000000" w:firstRow="0" w:lastRow="0" w:firstColumn="0" w:lastColumn="0" w:oddVBand="0" w:evenVBand="0" w:oddHBand="0" w:evenHBand="0" w:firstRowFirstColumn="0" w:firstRowLastColumn="0" w:lastRowFirstColumn="0" w:lastRowLastColumn="0"/>
            </w:pPr>
            <w:r w:rsidRPr="00B73260">
              <w:rPr>
                <w:color w:val="auto"/>
              </w:rPr>
              <w:t xml:space="preserve">Náklady na HW, SW a služby IT v alternatíve </w:t>
            </w:r>
            <w:r>
              <w:rPr>
                <w:color w:val="auto"/>
              </w:rPr>
              <w:t>A</w:t>
            </w:r>
            <w:r w:rsidRPr="00B73260">
              <w:rPr>
                <w:color w:val="auto"/>
              </w:rPr>
              <w:t xml:space="preserve"> žiadateľ vypočíta ako priemer kapitálových a bežných výdavkov na obstaranie IKT (samostatne SW, HW a špeciálne služby) za posledné 3 roky pred predložením projektu (žiadosti o NFP). Získaný údaj dosadí ako hodnotu v 0-tom roku realizácie projektu. Následne odhadne náklady tejto alternatívy za každý rok životnosti projektu</w:t>
            </w:r>
            <w:r w:rsidRPr="00B73260">
              <w:t>.</w:t>
            </w:r>
          </w:p>
        </w:tc>
        <w:tc>
          <w:tcPr>
            <w:tcW w:w="915" w:type="pct"/>
            <w:vMerge w:val="restart"/>
            <w:tcBorders>
              <w:right w:val="single" w:sz="4" w:space="0" w:color="auto"/>
            </w:tcBorders>
          </w:tcPr>
          <w:p w14:paraId="06806956" w14:textId="6E336258" w:rsidR="005E5978" w:rsidRPr="00FC1065" w:rsidRDefault="005E5978" w:rsidP="005E5978">
            <w:pPr>
              <w:spacing w:after="0"/>
              <w:cnfStyle w:val="000000000000" w:firstRow="0" w:lastRow="0" w:firstColumn="0" w:lastColumn="0" w:oddVBand="0" w:evenVBand="0" w:oddHBand="0" w:evenHBand="0" w:firstRowFirstColumn="0" w:firstRowLastColumn="0" w:lastRowFirstColumn="0" w:lastRowLastColumn="0"/>
            </w:pPr>
            <w:r w:rsidRPr="00B73260">
              <w:rPr>
                <w:color w:val="auto"/>
              </w:rPr>
              <w:t xml:space="preserve">Náklady na HW, SW a služby IT v alternatíve B povinná osoba uvedie podľa potrieb vyplývajúcich z elektronizácie úseku správy, resp. výsledkov verejného obstarávania. Získané hodnoty uvedie za roky, počas ktorých bude prebiehať realizácia aktivít projektu. Ak má projekt iba oprávnené náklady, tak výška NFP bude tvoriť 100% nákladov projektu v danom období. Hodnoty za ostatné roky životnosti projektu uvedie na základe výšky odhadnutých udržiavacích nákladov, ktoré by mali byť porovnateľné, resp. nižšie oproti alternatíve A.  </w:t>
            </w:r>
          </w:p>
        </w:tc>
      </w:tr>
      <w:tr w:rsidR="005E5978" w:rsidRPr="0071264A" w14:paraId="79A34AF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C913039" w14:textId="0FF6DFEE" w:rsidR="005E5978" w:rsidRPr="001D4F63" w:rsidRDefault="005E5978" w:rsidP="005E5978">
            <w:pPr>
              <w:spacing w:after="0"/>
              <w:rPr>
                <w:sz w:val="20"/>
                <w:szCs w:val="20"/>
              </w:rPr>
            </w:pPr>
          </w:p>
        </w:tc>
        <w:tc>
          <w:tcPr>
            <w:tcW w:w="1772" w:type="pct"/>
            <w:tcBorders>
              <w:left w:val="single" w:sz="18" w:space="0" w:color="auto"/>
            </w:tcBorders>
          </w:tcPr>
          <w:p w14:paraId="68F3F49D" w14:textId="2C9AB8D1" w:rsidR="005E5978" w:rsidRPr="0098447D" w:rsidRDefault="005E5978" w:rsidP="005E5978">
            <w:pPr>
              <w:spacing w:after="0"/>
              <w:cnfStyle w:val="000000100000" w:firstRow="0" w:lastRow="0" w:firstColumn="0" w:lastColumn="0" w:oddVBand="0" w:evenVBand="0" w:oddHBand="1" w:evenHBand="0" w:firstRowFirstColumn="0" w:firstRowLastColumn="0" w:lastRowFirstColumn="0" w:lastRowLastColumn="0"/>
              <w:rPr>
                <w:color w:val="auto"/>
              </w:rPr>
            </w:pPr>
            <w:r>
              <w:rPr>
                <w:color w:val="auto"/>
              </w:rPr>
              <w:t>SW</w:t>
            </w:r>
          </w:p>
        </w:tc>
        <w:tc>
          <w:tcPr>
            <w:tcW w:w="1097" w:type="pct"/>
            <w:tcBorders>
              <w:right w:val="single" w:sz="4" w:space="0" w:color="auto"/>
            </w:tcBorders>
          </w:tcPr>
          <w:p w14:paraId="1D70204A" w14:textId="77777777" w:rsidR="005E5978" w:rsidRPr="00274E30"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Nákup softvéru</w:t>
            </w:r>
          </w:p>
          <w:p w14:paraId="71FC1940" w14:textId="162B3D7D" w:rsidR="005E5978" w:rsidRPr="00274E30"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Nákup licencií</w:t>
            </w:r>
          </w:p>
        </w:tc>
        <w:tc>
          <w:tcPr>
            <w:tcW w:w="857" w:type="pct"/>
            <w:vMerge/>
            <w:tcBorders>
              <w:right w:val="single" w:sz="4" w:space="0" w:color="auto"/>
            </w:tcBorders>
          </w:tcPr>
          <w:p w14:paraId="6F61B3DE" w14:textId="77777777" w:rsidR="005E5978" w:rsidRPr="00FC1065" w:rsidRDefault="005E5978" w:rsidP="005E5978">
            <w:pPr>
              <w:spacing w:after="0"/>
              <w:cnfStyle w:val="000000100000" w:firstRow="0" w:lastRow="0" w:firstColumn="0" w:lastColumn="0" w:oddVBand="0" w:evenVBand="0" w:oddHBand="1" w:evenHBand="0" w:firstRowFirstColumn="0" w:firstRowLastColumn="0" w:lastRowFirstColumn="0" w:lastRowLastColumn="0"/>
            </w:pPr>
          </w:p>
        </w:tc>
        <w:tc>
          <w:tcPr>
            <w:tcW w:w="915" w:type="pct"/>
            <w:vMerge/>
            <w:tcBorders>
              <w:right w:val="single" w:sz="4" w:space="0" w:color="auto"/>
            </w:tcBorders>
          </w:tcPr>
          <w:p w14:paraId="123E432A" w14:textId="510CD017" w:rsidR="005E5978" w:rsidRPr="00FC1065" w:rsidRDefault="005E5978" w:rsidP="005E5978">
            <w:pPr>
              <w:spacing w:after="0"/>
              <w:cnfStyle w:val="000000100000" w:firstRow="0" w:lastRow="0" w:firstColumn="0" w:lastColumn="0" w:oddVBand="0" w:evenVBand="0" w:oddHBand="1" w:evenHBand="0" w:firstRowFirstColumn="0" w:firstRowLastColumn="0" w:lastRowFirstColumn="0" w:lastRowLastColumn="0"/>
            </w:pPr>
          </w:p>
        </w:tc>
      </w:tr>
      <w:tr w:rsidR="005E5978" w:rsidRPr="0071264A" w14:paraId="138E3CC8"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EACA5C5" w14:textId="77777777" w:rsidR="005E5978" w:rsidRPr="001D4F63" w:rsidRDefault="005E5978" w:rsidP="005E5978">
            <w:pPr>
              <w:spacing w:after="0"/>
              <w:rPr>
                <w:sz w:val="20"/>
                <w:szCs w:val="20"/>
              </w:rPr>
            </w:pPr>
          </w:p>
        </w:tc>
        <w:tc>
          <w:tcPr>
            <w:tcW w:w="1772" w:type="pct"/>
            <w:tcBorders>
              <w:left w:val="single" w:sz="18" w:space="0" w:color="auto"/>
            </w:tcBorders>
          </w:tcPr>
          <w:p w14:paraId="606044DD" w14:textId="52BE85B1" w:rsidR="005E5978" w:rsidRPr="00E35943" w:rsidRDefault="005E5978" w:rsidP="005E5978">
            <w:p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Služby</w:t>
            </w:r>
          </w:p>
        </w:tc>
        <w:tc>
          <w:tcPr>
            <w:tcW w:w="1097" w:type="pct"/>
            <w:tcBorders>
              <w:right w:val="single" w:sz="4" w:space="0" w:color="auto"/>
            </w:tcBorders>
          </w:tcPr>
          <w:p w14:paraId="797E62C4" w14:textId="77777777" w:rsidR="005E5978" w:rsidRPr="00274E3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Prípravná a projektová dokumentácia</w:t>
            </w:r>
          </w:p>
          <w:p w14:paraId="3E091410" w14:textId="77777777" w:rsidR="005E5978" w:rsidRPr="00B7326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Špeciálne služby</w:t>
            </w:r>
          </w:p>
          <w:p w14:paraId="0AD682D6" w14:textId="7F196C35"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Pr>
                <w:color w:val="auto"/>
              </w:rPr>
              <w:t>Osobné náklady</w:t>
            </w:r>
          </w:p>
          <w:p w14:paraId="527C7CF2" w14:textId="1A3E8E21"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Tuzemské cestovné náhrady</w:t>
            </w:r>
          </w:p>
          <w:p w14:paraId="42D91914" w14:textId="35585EEE"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Školenia, kurzy, semináre, porady, konferencie, sympóziá</w:t>
            </w:r>
          </w:p>
          <w:p w14:paraId="5101CDFC" w14:textId="61C3634F"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sidRPr="00B73260">
              <w:rPr>
                <w:color w:val="auto"/>
              </w:rPr>
              <w:t>Propagácia, reklama a</w:t>
            </w:r>
            <w:r>
              <w:rPr>
                <w:color w:val="auto"/>
              </w:rPr>
              <w:t> </w:t>
            </w:r>
            <w:r w:rsidRPr="00B73260">
              <w:rPr>
                <w:color w:val="auto"/>
              </w:rPr>
              <w:t>inzercia</w:t>
            </w:r>
          </w:p>
          <w:p w14:paraId="683ECB5E" w14:textId="765F8F29" w:rsidR="005E5978" w:rsidRPr="00E35943"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Pr>
                <w:color w:val="auto"/>
              </w:rPr>
              <w:t> Náhrada mzdy a platu</w:t>
            </w:r>
          </w:p>
        </w:tc>
        <w:tc>
          <w:tcPr>
            <w:tcW w:w="857" w:type="pct"/>
            <w:vMerge/>
            <w:tcBorders>
              <w:right w:val="single" w:sz="4" w:space="0" w:color="auto"/>
            </w:tcBorders>
          </w:tcPr>
          <w:p w14:paraId="4C0CC35E" w14:textId="77777777" w:rsidR="005E5978" w:rsidRPr="00E35943"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p>
        </w:tc>
        <w:tc>
          <w:tcPr>
            <w:tcW w:w="915" w:type="pct"/>
            <w:vMerge/>
            <w:tcBorders>
              <w:right w:val="single" w:sz="4" w:space="0" w:color="auto"/>
            </w:tcBorders>
          </w:tcPr>
          <w:p w14:paraId="20AFCE68" w14:textId="77777777" w:rsidR="005E5978" w:rsidRPr="00E35943"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p>
        </w:tc>
      </w:tr>
      <w:tr w:rsidR="005E5978" w:rsidRPr="0071264A" w14:paraId="0B0C2527"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3C28FA03" w14:textId="1DA3F0C4" w:rsidR="005E5978" w:rsidRPr="00274028" w:rsidRDefault="005E5978" w:rsidP="005E5978">
            <w:pPr>
              <w:jc w:val="left"/>
              <w:rPr>
                <w:color w:val="5B9BD5" w:themeColor="accent1"/>
              </w:rPr>
            </w:pPr>
            <w:r>
              <w:rPr>
                <w:color w:val="5B9BD5" w:themeColor="accent1"/>
              </w:rPr>
              <w:t>Variabilné výdavky</w:t>
            </w:r>
          </w:p>
        </w:tc>
      </w:tr>
      <w:tr w:rsidR="005E5978" w:rsidRPr="0071264A" w14:paraId="6DDB89D2"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6BF9F765" w14:textId="04D6B22D" w:rsidR="005E5978" w:rsidRPr="001D4F63" w:rsidRDefault="005E5978" w:rsidP="005E5978">
            <w:pPr>
              <w:rPr>
                <w:sz w:val="20"/>
                <w:szCs w:val="20"/>
              </w:rPr>
            </w:pPr>
          </w:p>
        </w:tc>
        <w:tc>
          <w:tcPr>
            <w:tcW w:w="1772" w:type="pct"/>
            <w:tcBorders>
              <w:left w:val="single" w:sz="18" w:space="0" w:color="auto"/>
            </w:tcBorders>
          </w:tcPr>
          <w:p w14:paraId="6F94E0AA" w14:textId="2FB2A1C0"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Osobné náklady</w:t>
            </w:r>
          </w:p>
        </w:tc>
        <w:tc>
          <w:tcPr>
            <w:tcW w:w="1097" w:type="pct"/>
            <w:tcBorders>
              <w:right w:val="single" w:sz="4" w:space="0" w:color="auto"/>
            </w:tcBorders>
          </w:tcPr>
          <w:p w14:paraId="509124B4" w14:textId="63E5F307" w:rsidR="005E5978" w:rsidRPr="00E35943" w:rsidRDefault="005E5978" w:rsidP="005E5978">
            <w:pPr>
              <w:jc w:val="left"/>
              <w:cnfStyle w:val="000000000000" w:firstRow="0" w:lastRow="0" w:firstColumn="0" w:lastColumn="0" w:oddVBand="0" w:evenVBand="0" w:oddHBand="0" w:evenHBand="0" w:firstRowFirstColumn="0" w:firstRowLastColumn="0" w:lastRowFirstColumn="0" w:lastRowLastColumn="0"/>
              <w:rPr>
                <w:color w:val="auto"/>
              </w:rPr>
            </w:pPr>
            <w:r w:rsidRPr="00AD6514">
              <w:rPr>
                <w:color w:val="auto"/>
              </w:rPr>
              <w:t xml:space="preserve">Osobné náklady zahŕňajú náklady na hrubú mzdu a odvody za zamestnanca poskytujúceho službu. Osobné náklady predstavujú variabilný </w:t>
            </w:r>
            <w:r>
              <w:rPr>
                <w:color w:val="auto"/>
              </w:rPr>
              <w:t>výdavok</w:t>
            </w:r>
            <w:r w:rsidRPr="00AD6514">
              <w:rPr>
                <w:color w:val="auto"/>
              </w:rPr>
              <w:t xml:space="preserve"> pri spracovaní podania poskytovateľom služby a zahŕňa čistý čas (bez doručovania) vynaložený na spracovanie podania. Výsledná hodnota je súčinom priemerného trvania spracovania podania a priemerných osobných nákladov zamestnanca poskytujúceho služby.  </w:t>
            </w:r>
          </w:p>
        </w:tc>
        <w:tc>
          <w:tcPr>
            <w:tcW w:w="857" w:type="pct"/>
            <w:tcBorders>
              <w:right w:val="single" w:sz="4" w:space="0" w:color="auto"/>
            </w:tcBorders>
          </w:tcPr>
          <w:p w14:paraId="6B39F072" w14:textId="77777777"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p>
        </w:tc>
        <w:tc>
          <w:tcPr>
            <w:tcW w:w="915" w:type="pct"/>
            <w:tcBorders>
              <w:right w:val="single" w:sz="4" w:space="0" w:color="auto"/>
            </w:tcBorders>
          </w:tcPr>
          <w:p w14:paraId="28CA2433" w14:textId="683FAD65"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p>
        </w:tc>
      </w:tr>
      <w:tr w:rsidR="005E5978" w:rsidRPr="0071264A" w14:paraId="70C921D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A434091" w14:textId="77777777" w:rsidR="005E5978" w:rsidRPr="001D4F63" w:rsidRDefault="005E5978" w:rsidP="005E5978">
            <w:pPr>
              <w:rPr>
                <w:sz w:val="20"/>
                <w:szCs w:val="20"/>
              </w:rPr>
            </w:pPr>
          </w:p>
        </w:tc>
        <w:tc>
          <w:tcPr>
            <w:tcW w:w="1772" w:type="pct"/>
            <w:tcBorders>
              <w:left w:val="single" w:sz="18" w:space="0" w:color="auto"/>
            </w:tcBorders>
          </w:tcPr>
          <w:p w14:paraId="2110B725" w14:textId="0C7CCACF"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r w:rsidRPr="00E35943">
              <w:rPr>
                <w:color w:val="auto"/>
              </w:rPr>
              <w:t>Všeobecný materiál</w:t>
            </w:r>
          </w:p>
        </w:tc>
        <w:tc>
          <w:tcPr>
            <w:tcW w:w="1097" w:type="pct"/>
            <w:tcBorders>
              <w:right w:val="single" w:sz="4" w:space="0" w:color="auto"/>
            </w:tcBorders>
          </w:tcPr>
          <w:p w14:paraId="194ED053" w14:textId="43D07AE2" w:rsidR="005E5978" w:rsidRPr="00E35943" w:rsidRDefault="005E5978" w:rsidP="005E5978">
            <w:pPr>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Náklady na všeobecný materiál sú náklady, ktoré sú závislé od počtu poskytnutých služieb. Obsahujú náklady na papierovú komunikáciu ako papier, obálky, poštovné, toner a pod.</w:t>
            </w:r>
          </w:p>
        </w:tc>
        <w:tc>
          <w:tcPr>
            <w:tcW w:w="857" w:type="pct"/>
            <w:tcBorders>
              <w:right w:val="single" w:sz="4" w:space="0" w:color="auto"/>
            </w:tcBorders>
          </w:tcPr>
          <w:p w14:paraId="7F9AB75F" w14:textId="77777777"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c>
          <w:tcPr>
            <w:tcW w:w="915" w:type="pct"/>
            <w:tcBorders>
              <w:right w:val="single" w:sz="4" w:space="0" w:color="auto"/>
            </w:tcBorders>
          </w:tcPr>
          <w:p w14:paraId="6D79B2B1" w14:textId="367B09F3"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r>
      <w:tr w:rsidR="005E5978" w:rsidRPr="0071264A" w14:paraId="6E914DF7"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right w:val="single" w:sz="18" w:space="0" w:color="auto"/>
            </w:tcBorders>
          </w:tcPr>
          <w:p w14:paraId="1864D021" w14:textId="63D0EBF9" w:rsidR="005E5978" w:rsidRDefault="005E5978" w:rsidP="005E5978">
            <w:pPr>
              <w:jc w:val="left"/>
            </w:pPr>
            <w:r>
              <w:rPr>
                <w:color w:val="auto"/>
              </w:rPr>
              <w:t>Projekt zameraný</w:t>
            </w:r>
            <w:r w:rsidRPr="00A97FE0">
              <w:rPr>
                <w:color w:val="auto"/>
              </w:rPr>
              <w:t xml:space="preserve"> na </w:t>
            </w:r>
            <w:proofErr w:type="spellStart"/>
            <w:r w:rsidRPr="00A97FE0">
              <w:rPr>
                <w:color w:val="auto"/>
              </w:rPr>
              <w:t>cloudové</w:t>
            </w:r>
            <w:proofErr w:type="spellEnd"/>
            <w:r w:rsidRPr="00A97FE0">
              <w:rPr>
                <w:color w:val="auto"/>
              </w:rPr>
              <w:t xml:space="preserve"> služby</w:t>
            </w:r>
          </w:p>
        </w:tc>
      </w:tr>
      <w:tr w:rsidR="005E5978" w:rsidRPr="0071264A" w14:paraId="4C5A9119"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6D0AA4A0" w14:textId="12AA2F82" w:rsidR="005E5978" w:rsidRPr="00A97FE0" w:rsidRDefault="005E5978" w:rsidP="005E5978">
            <w:pPr>
              <w:jc w:val="left"/>
              <w:rPr>
                <w:color w:val="5B9BD5" w:themeColor="accent1"/>
              </w:rPr>
            </w:pPr>
            <w:r>
              <w:rPr>
                <w:color w:val="5B9BD5" w:themeColor="accent1"/>
              </w:rPr>
              <w:t>Fixné</w:t>
            </w:r>
            <w:r w:rsidRPr="00CC7824">
              <w:rPr>
                <w:color w:val="5B9BD5" w:themeColor="accent1"/>
              </w:rPr>
              <w:t xml:space="preserve"> výdavky</w:t>
            </w:r>
          </w:p>
        </w:tc>
      </w:tr>
      <w:tr w:rsidR="005E5978" w:rsidRPr="0071264A" w14:paraId="5FF2F429"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97D5967" w14:textId="77777777" w:rsidR="005E5978" w:rsidRPr="0071264A" w:rsidRDefault="005E5978" w:rsidP="005E5978">
            <w:pPr>
              <w:rPr>
                <w:b w:val="0"/>
              </w:rPr>
            </w:pPr>
          </w:p>
        </w:tc>
        <w:tc>
          <w:tcPr>
            <w:tcW w:w="1772" w:type="pct"/>
            <w:tcBorders>
              <w:left w:val="single" w:sz="18" w:space="0" w:color="auto"/>
            </w:tcBorders>
          </w:tcPr>
          <w:p w14:paraId="68DB9EC8" w14:textId="4061B9C7" w:rsidR="005E5978" w:rsidRPr="00FC1065" w:rsidRDefault="005E5978" w:rsidP="005E5978">
            <w:pPr>
              <w:jc w:val="left"/>
              <w:cnfStyle w:val="000000000000" w:firstRow="0" w:lastRow="0" w:firstColumn="0" w:lastColumn="0" w:oddVBand="0" w:evenVBand="0" w:oddHBand="0" w:evenHBand="0" w:firstRowFirstColumn="0" w:firstRowLastColumn="0" w:lastRowFirstColumn="0" w:lastRowLastColumn="0"/>
            </w:pPr>
            <w:r>
              <w:rPr>
                <w:color w:val="auto"/>
              </w:rPr>
              <w:t>HW</w:t>
            </w:r>
          </w:p>
        </w:tc>
        <w:tc>
          <w:tcPr>
            <w:tcW w:w="1097" w:type="pct"/>
            <w:tcBorders>
              <w:right w:val="single" w:sz="4" w:space="0" w:color="auto"/>
            </w:tcBorders>
          </w:tcPr>
          <w:p w14:paraId="0020D8AB"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telekomunikačnej techniky</w:t>
            </w:r>
          </w:p>
          <w:p w14:paraId="0724D5A4"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výpočtovej techniky</w:t>
            </w:r>
          </w:p>
          <w:p w14:paraId="2B24ACED"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Modernizácia výpočtovej techniky</w:t>
            </w:r>
          </w:p>
          <w:p w14:paraId="4C673ABE" w14:textId="390AD8BB" w:rsidR="005E5978" w:rsidRPr="005E5978"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pPr>
            <w:r w:rsidRPr="005E5978">
              <w:rPr>
                <w:color w:val="auto"/>
              </w:rPr>
              <w:t>Modernizácia telekomunikačnej techniky</w:t>
            </w:r>
          </w:p>
        </w:tc>
        <w:tc>
          <w:tcPr>
            <w:tcW w:w="857" w:type="pct"/>
            <w:tcBorders>
              <w:right w:val="single" w:sz="4" w:space="0" w:color="auto"/>
            </w:tcBorders>
          </w:tcPr>
          <w:p w14:paraId="2F456DEE" w14:textId="326BA7F8" w:rsidR="005E5978" w:rsidRPr="00FC1065" w:rsidRDefault="005E5978" w:rsidP="005E5978">
            <w:pPr>
              <w:cnfStyle w:val="000000000000" w:firstRow="0" w:lastRow="0" w:firstColumn="0" w:lastColumn="0" w:oddVBand="0" w:evenVBand="0" w:oddHBand="0" w:evenHBand="0" w:firstRowFirstColumn="0" w:firstRowLastColumn="0" w:lastRowFirstColumn="0" w:lastRowLastColumn="0"/>
            </w:pPr>
          </w:p>
        </w:tc>
        <w:tc>
          <w:tcPr>
            <w:tcW w:w="915" w:type="pct"/>
            <w:tcBorders>
              <w:right w:val="single" w:sz="4" w:space="0" w:color="auto"/>
            </w:tcBorders>
          </w:tcPr>
          <w:p w14:paraId="15971450" w14:textId="2BA34A71" w:rsidR="005E5978" w:rsidRDefault="005E5978" w:rsidP="005E5978">
            <w:pPr>
              <w:cnfStyle w:val="000000000000" w:firstRow="0" w:lastRow="0" w:firstColumn="0" w:lastColumn="0" w:oddVBand="0" w:evenVBand="0" w:oddHBand="0" w:evenHBand="0" w:firstRowFirstColumn="0" w:firstRowLastColumn="0" w:lastRowFirstColumn="0" w:lastRowLastColumn="0"/>
            </w:pPr>
          </w:p>
        </w:tc>
      </w:tr>
      <w:tr w:rsidR="005E5978" w:rsidRPr="0071264A" w14:paraId="0D8D08B2"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068DC475" w14:textId="77777777" w:rsidR="005E5978" w:rsidRPr="0071264A" w:rsidRDefault="005E5978" w:rsidP="005E5978">
            <w:pPr>
              <w:rPr>
                <w:b w:val="0"/>
              </w:rPr>
            </w:pPr>
          </w:p>
        </w:tc>
        <w:tc>
          <w:tcPr>
            <w:tcW w:w="1772" w:type="pct"/>
            <w:tcBorders>
              <w:left w:val="single" w:sz="18" w:space="0" w:color="auto"/>
            </w:tcBorders>
          </w:tcPr>
          <w:p w14:paraId="07B65DC7" w14:textId="702943F4" w:rsidR="005E5978" w:rsidRDefault="005E5978" w:rsidP="005E5978">
            <w:pPr>
              <w:jc w:val="left"/>
              <w:cnfStyle w:val="000000100000" w:firstRow="0" w:lastRow="0" w:firstColumn="0" w:lastColumn="0" w:oddVBand="0" w:evenVBand="0" w:oddHBand="1" w:evenHBand="0" w:firstRowFirstColumn="0" w:firstRowLastColumn="0" w:lastRowFirstColumn="0" w:lastRowLastColumn="0"/>
            </w:pPr>
            <w:r>
              <w:rPr>
                <w:color w:val="auto"/>
              </w:rPr>
              <w:t>SW</w:t>
            </w:r>
          </w:p>
        </w:tc>
        <w:tc>
          <w:tcPr>
            <w:tcW w:w="1097" w:type="pct"/>
            <w:tcBorders>
              <w:right w:val="single" w:sz="4" w:space="0" w:color="auto"/>
            </w:tcBorders>
          </w:tcPr>
          <w:p w14:paraId="7A2B0FFB" w14:textId="77777777" w:rsidR="005E5978" w:rsidRPr="005E5978"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Nákup softvéru</w:t>
            </w:r>
          </w:p>
          <w:p w14:paraId="7A384147" w14:textId="61111BA0" w:rsidR="005E5978" w:rsidRPr="00E41111"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Nákup licencií</w:t>
            </w:r>
          </w:p>
        </w:tc>
        <w:tc>
          <w:tcPr>
            <w:tcW w:w="857" w:type="pct"/>
            <w:tcBorders>
              <w:right w:val="single" w:sz="4" w:space="0" w:color="auto"/>
            </w:tcBorders>
          </w:tcPr>
          <w:p w14:paraId="5B2D4484" w14:textId="47FBBF73" w:rsidR="005E5978" w:rsidRDefault="005E5978" w:rsidP="005E5978">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72AA6261" w14:textId="79157A24" w:rsidR="005E5978" w:rsidRDefault="005E5978" w:rsidP="005E5978">
            <w:pPr>
              <w:cnfStyle w:val="000000100000" w:firstRow="0" w:lastRow="0" w:firstColumn="0" w:lastColumn="0" w:oddVBand="0" w:evenVBand="0" w:oddHBand="1" w:evenHBand="0" w:firstRowFirstColumn="0" w:firstRowLastColumn="0" w:lastRowFirstColumn="0" w:lastRowLastColumn="0"/>
            </w:pPr>
          </w:p>
        </w:tc>
      </w:tr>
      <w:tr w:rsidR="005E5978" w:rsidRPr="0071264A" w14:paraId="3A159C8A"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693460A" w14:textId="77777777" w:rsidR="005E5978" w:rsidRPr="0071264A" w:rsidRDefault="005E5978" w:rsidP="005E5978">
            <w:pPr>
              <w:rPr>
                <w:b w:val="0"/>
              </w:rPr>
            </w:pPr>
          </w:p>
        </w:tc>
        <w:tc>
          <w:tcPr>
            <w:tcW w:w="1772" w:type="pct"/>
            <w:tcBorders>
              <w:left w:val="single" w:sz="18" w:space="0" w:color="auto"/>
            </w:tcBorders>
          </w:tcPr>
          <w:p w14:paraId="0AF2E260" w14:textId="028AF9DC" w:rsidR="005E5978" w:rsidRPr="00FC1065" w:rsidRDefault="005E5978" w:rsidP="005E5978">
            <w:pPr>
              <w:jc w:val="left"/>
              <w:cnfStyle w:val="000000000000" w:firstRow="0" w:lastRow="0" w:firstColumn="0" w:lastColumn="0" w:oddVBand="0" w:evenVBand="0" w:oddHBand="0" w:evenHBand="0" w:firstRowFirstColumn="0" w:firstRowLastColumn="0" w:lastRowFirstColumn="0" w:lastRowLastColumn="0"/>
            </w:pPr>
            <w:r w:rsidRPr="00E35943">
              <w:rPr>
                <w:color w:val="auto"/>
              </w:rPr>
              <w:t>Služby</w:t>
            </w:r>
          </w:p>
        </w:tc>
        <w:tc>
          <w:tcPr>
            <w:tcW w:w="1097" w:type="pct"/>
            <w:tcBorders>
              <w:right w:val="single" w:sz="4" w:space="0" w:color="auto"/>
            </w:tcBorders>
          </w:tcPr>
          <w:p w14:paraId="28A02439" w14:textId="77777777" w:rsidR="005E5978" w:rsidRPr="00274E3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Prípravná a projektová dokumentácia</w:t>
            </w:r>
          </w:p>
          <w:p w14:paraId="229A5423" w14:textId="77777777" w:rsidR="005E5978" w:rsidRPr="00B7326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Špeciálne služby</w:t>
            </w:r>
          </w:p>
          <w:p w14:paraId="159A7A64"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Pr>
                <w:color w:val="auto"/>
              </w:rPr>
              <w:t>Osobné náklady</w:t>
            </w:r>
          </w:p>
          <w:p w14:paraId="6256003B"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Tuzemské cestovné náhrady</w:t>
            </w:r>
          </w:p>
          <w:p w14:paraId="1853B03A"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Školenia, kurzy, semináre, porady, konferencie, sympóziá</w:t>
            </w:r>
          </w:p>
          <w:p w14:paraId="6B756D12" w14:textId="7B09BFDC" w:rsidR="005E5978" w:rsidRPr="005E5978"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sidRPr="00B73260">
              <w:rPr>
                <w:color w:val="auto"/>
              </w:rPr>
              <w:t>Propagácia, reklama a</w:t>
            </w:r>
            <w:r>
              <w:rPr>
                <w:color w:val="auto"/>
              </w:rPr>
              <w:t> </w:t>
            </w:r>
            <w:r w:rsidRPr="00B73260">
              <w:rPr>
                <w:color w:val="auto"/>
              </w:rPr>
              <w:t>inzercia</w:t>
            </w:r>
          </w:p>
          <w:p w14:paraId="4A0DF58A" w14:textId="12E64DD8" w:rsidR="005E5978" w:rsidRPr="00FC1065"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Pr>
                <w:color w:val="auto"/>
              </w:rPr>
              <w:t> Náhrada mzdy a platu</w:t>
            </w:r>
          </w:p>
        </w:tc>
        <w:tc>
          <w:tcPr>
            <w:tcW w:w="857" w:type="pct"/>
            <w:tcBorders>
              <w:right w:val="single" w:sz="4" w:space="0" w:color="auto"/>
            </w:tcBorders>
          </w:tcPr>
          <w:p w14:paraId="14917D5D" w14:textId="4B0E9BB3" w:rsidR="005E5978" w:rsidRPr="00FC1065" w:rsidRDefault="005E5978" w:rsidP="005E5978">
            <w:pPr>
              <w:cnfStyle w:val="000000000000" w:firstRow="0" w:lastRow="0" w:firstColumn="0" w:lastColumn="0" w:oddVBand="0" w:evenVBand="0" w:oddHBand="0" w:evenHBand="0" w:firstRowFirstColumn="0" w:firstRowLastColumn="0" w:lastRowFirstColumn="0" w:lastRowLastColumn="0"/>
            </w:pPr>
          </w:p>
        </w:tc>
        <w:tc>
          <w:tcPr>
            <w:tcW w:w="915" w:type="pct"/>
            <w:tcBorders>
              <w:right w:val="single" w:sz="4" w:space="0" w:color="auto"/>
            </w:tcBorders>
          </w:tcPr>
          <w:p w14:paraId="2C8309A4" w14:textId="3D1E361C" w:rsidR="005E5978" w:rsidRDefault="005E5978" w:rsidP="005E5978">
            <w:pPr>
              <w:cnfStyle w:val="000000000000" w:firstRow="0" w:lastRow="0" w:firstColumn="0" w:lastColumn="0" w:oddVBand="0" w:evenVBand="0" w:oddHBand="0" w:evenHBand="0" w:firstRowFirstColumn="0" w:firstRowLastColumn="0" w:lastRowFirstColumn="0" w:lastRowLastColumn="0"/>
            </w:pPr>
          </w:p>
        </w:tc>
      </w:tr>
      <w:tr w:rsidR="005E5978" w:rsidRPr="0071264A" w14:paraId="3B22D47C"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21AD9CF" w14:textId="103FB2C5" w:rsidR="005E5978" w:rsidRDefault="005E5978" w:rsidP="005E5978">
            <w:pPr>
              <w:jc w:val="left"/>
              <w:rPr>
                <w:color w:val="5B9BD5" w:themeColor="accent1"/>
              </w:rPr>
            </w:pPr>
            <w:r>
              <w:rPr>
                <w:color w:val="5B9BD5" w:themeColor="accent1"/>
              </w:rPr>
              <w:t>Variabilné výdavky</w:t>
            </w:r>
          </w:p>
        </w:tc>
      </w:tr>
      <w:tr w:rsidR="00726A12" w:rsidRPr="0071264A" w14:paraId="04BFD16C"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23E5D4F" w14:textId="77777777" w:rsidR="00726A12" w:rsidRPr="0071264A" w:rsidRDefault="00726A12" w:rsidP="00726A12">
            <w:pPr>
              <w:rPr>
                <w:b w:val="0"/>
              </w:rPr>
            </w:pPr>
          </w:p>
        </w:tc>
        <w:tc>
          <w:tcPr>
            <w:tcW w:w="1772" w:type="pct"/>
            <w:tcBorders>
              <w:left w:val="single" w:sz="18" w:space="0" w:color="auto"/>
            </w:tcBorders>
          </w:tcPr>
          <w:p w14:paraId="6D8E6561" w14:textId="1C8749EE" w:rsidR="00726A12" w:rsidRPr="00FC1065" w:rsidRDefault="00726A12" w:rsidP="00726A12">
            <w:pPr>
              <w:jc w:val="left"/>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Osobné náklady</w:t>
            </w:r>
          </w:p>
        </w:tc>
        <w:tc>
          <w:tcPr>
            <w:tcW w:w="1097" w:type="pct"/>
            <w:tcBorders>
              <w:right w:val="single" w:sz="4" w:space="0" w:color="auto"/>
            </w:tcBorders>
          </w:tcPr>
          <w:p w14:paraId="767A049E" w14:textId="35070BF5" w:rsidR="00726A12" w:rsidRPr="00FC1065" w:rsidRDefault="00726A12" w:rsidP="00685896">
            <w:pPr>
              <w:cnfStyle w:val="000000000000" w:firstRow="0" w:lastRow="0" w:firstColumn="0" w:lastColumn="0" w:oddVBand="0" w:evenVBand="0" w:oddHBand="0" w:evenHBand="0" w:firstRowFirstColumn="0" w:firstRowLastColumn="0" w:lastRowFirstColumn="0" w:lastRowLastColumn="0"/>
            </w:pPr>
            <w:r w:rsidRPr="00AD6514">
              <w:rPr>
                <w:color w:val="auto"/>
              </w:rPr>
              <w:t xml:space="preserve">Osobné náklady zahŕňajú náklady na hrubú mzdu a odvody za zamestnanca poskytujúceho službu. </w:t>
            </w:r>
          </w:p>
        </w:tc>
        <w:tc>
          <w:tcPr>
            <w:tcW w:w="857" w:type="pct"/>
            <w:tcBorders>
              <w:right w:val="single" w:sz="4" w:space="0" w:color="auto"/>
            </w:tcBorders>
          </w:tcPr>
          <w:p w14:paraId="0455B437" w14:textId="45AFF60F" w:rsidR="00726A12" w:rsidRPr="001B1194" w:rsidRDefault="00726A12" w:rsidP="00726A12">
            <w:pPr>
              <w:cnfStyle w:val="000000000000" w:firstRow="0" w:lastRow="0" w:firstColumn="0" w:lastColumn="0" w:oddVBand="0" w:evenVBand="0" w:oddHBand="0" w:evenHBand="0" w:firstRowFirstColumn="0" w:firstRowLastColumn="0" w:lastRowFirstColumn="0" w:lastRowLastColumn="0"/>
              <w:rPr>
                <w:lang w:val="en-US"/>
              </w:rPr>
            </w:pPr>
          </w:p>
        </w:tc>
        <w:tc>
          <w:tcPr>
            <w:tcW w:w="915" w:type="pct"/>
            <w:tcBorders>
              <w:right w:val="single" w:sz="4" w:space="0" w:color="auto"/>
            </w:tcBorders>
          </w:tcPr>
          <w:p w14:paraId="66EF4891" w14:textId="0A7F860D" w:rsidR="00726A12" w:rsidRPr="00751B66" w:rsidRDefault="00726A12" w:rsidP="00726A12">
            <w:pPr>
              <w:cnfStyle w:val="000000000000" w:firstRow="0" w:lastRow="0" w:firstColumn="0" w:lastColumn="0" w:oddVBand="0" w:evenVBand="0" w:oddHBand="0" w:evenHBand="0" w:firstRowFirstColumn="0" w:firstRowLastColumn="0" w:lastRowFirstColumn="0" w:lastRowLastColumn="0"/>
              <w:rPr>
                <w:i/>
              </w:rPr>
            </w:pPr>
          </w:p>
        </w:tc>
      </w:tr>
    </w:tbl>
    <w:p w14:paraId="490C7DCF" w14:textId="7CE26660" w:rsidR="008A3D9C" w:rsidRDefault="008A3D9C" w:rsidP="00467622"/>
    <w:p w14:paraId="01331977" w14:textId="77777777" w:rsidR="008A3D9C" w:rsidRDefault="008A3D9C" w:rsidP="00467622"/>
    <w:p w14:paraId="6F007FC8" w14:textId="77777777" w:rsidR="008A3D9C" w:rsidRDefault="008A3D9C" w:rsidP="00467622">
      <w:pPr>
        <w:sectPr w:rsidR="008A3D9C" w:rsidSect="008A3D9C">
          <w:pgSz w:w="16838" w:h="11906" w:orient="landscape"/>
          <w:pgMar w:top="1417" w:right="1417" w:bottom="1417" w:left="1417" w:header="708" w:footer="708" w:gutter="0"/>
          <w:cols w:space="708"/>
          <w:docGrid w:linePitch="360"/>
        </w:sectPr>
      </w:pPr>
    </w:p>
    <w:p w14:paraId="5506D78D" w14:textId="77777777" w:rsidR="00467622" w:rsidRDefault="00467622" w:rsidP="00467622">
      <w:pPr>
        <w:pStyle w:val="Nadpis2"/>
      </w:pPr>
      <w:bookmarkStart w:id="28" w:name="_Toc422390678"/>
      <w:r>
        <w:t>Prínosy</w:t>
      </w:r>
      <w:bookmarkEnd w:id="28"/>
    </w:p>
    <w:p w14:paraId="27D41B54" w14:textId="3605F3DE" w:rsidR="00444D9E" w:rsidRDefault="00444D9E" w:rsidP="00444D9E">
      <w:r>
        <w:t xml:space="preserve">Povinná osoba vypočíta prínosy samostatne pre každú alternatívu za každý rok životnosti projektu. Celkové prínosy sú súčtom prínosov za jednotlivé roky.  </w:t>
      </w:r>
    </w:p>
    <w:p w14:paraId="1D69608B" w14:textId="39BDB181" w:rsidR="00444D9E" w:rsidRPr="00444D9E" w:rsidRDefault="00444D9E" w:rsidP="00444D9E">
      <m:oMathPara>
        <m:oMathParaPr>
          <m:jc m:val="left"/>
        </m:oMathParaPr>
        <m:oMath>
          <m:r>
            <w:rPr>
              <w:rFonts w:ascii="Cambria Math" w:hAnsi="Cambria Math"/>
            </w:rPr>
            <m:t>B=</m:t>
          </m:r>
          <m:nary>
            <m:naryPr>
              <m:chr m:val="∑"/>
              <m:limLoc m:val="undOvr"/>
              <m:ctrlPr>
                <w:rPr>
                  <w:rFonts w:ascii="Cambria Math" w:hAnsi="Cambria Math"/>
                  <w:i/>
                </w:rPr>
              </m:ctrlPr>
            </m:naryPr>
            <m:sub>
              <m:r>
                <w:rPr>
                  <w:rFonts w:ascii="Cambria Math" w:hAnsi="Cambria Math"/>
                </w:rPr>
                <m:t>t=0</m:t>
              </m:r>
            </m:sub>
            <m:sup>
              <m:r>
                <w:rPr>
                  <w:rFonts w:ascii="Cambria Math" w:hAnsi="Cambria Math"/>
                </w:rPr>
                <m:t>t</m:t>
              </m:r>
            </m:sup>
            <m:e>
              <m:r>
                <w:rPr>
                  <w:rFonts w:ascii="Cambria Math" w:hAnsi="Cambria Math"/>
                </w:rPr>
                <m:t>Bt</m:t>
              </m:r>
            </m:e>
          </m:nary>
        </m:oMath>
      </m:oMathPara>
    </w:p>
    <w:p w14:paraId="0F292C8D" w14:textId="789E383B" w:rsidR="00444D9E" w:rsidRDefault="00444D9E" w:rsidP="00444D9E">
      <w:pPr>
        <w:spacing w:after="84" w:line="259" w:lineRule="auto"/>
        <w:ind w:left="965"/>
        <w:jc w:val="left"/>
      </w:pPr>
      <w:r>
        <w:t xml:space="preserve"> </w:t>
      </w:r>
    </w:p>
    <w:p w14:paraId="399ED831" w14:textId="77777777" w:rsidR="00444D9E" w:rsidRDefault="00444D9E" w:rsidP="00444D9E">
      <w:r>
        <w:t xml:space="preserve">Prínosy projektu sa delia na priame - finančné a nepriame - ekonomické.  </w:t>
      </w:r>
    </w:p>
    <w:p w14:paraId="6B3F8FD3" w14:textId="77777777" w:rsidR="00CD7C91" w:rsidRPr="00FF62B9" w:rsidRDefault="00CD7C91" w:rsidP="00CD7C91">
      <w:r>
        <w:t xml:space="preserve">Úlohou parametrov pre rôzne typy projektov, definovaných v kapitole </w:t>
      </w:r>
      <w:r>
        <w:fldChar w:fldCharType="begin"/>
      </w:r>
      <w:r>
        <w:instrText xml:space="preserve"> REF _Ref409007819 \h </w:instrText>
      </w:r>
      <w:r>
        <w:fldChar w:fldCharType="separate"/>
      </w:r>
      <w:r>
        <w:t>Parametre</w:t>
      </w:r>
      <w:r>
        <w:fldChar w:fldCharType="end"/>
      </w:r>
      <w:r>
        <w:t>, je napomôcť výpočtu prínosov na základe kombinácii týchto parametrov.</w:t>
      </w:r>
    </w:p>
    <w:p w14:paraId="1DD8A7C5" w14:textId="2A0D9F4F" w:rsidR="00444D9E" w:rsidRDefault="00444D9E" w:rsidP="00444D9E">
      <w:pPr>
        <w:pStyle w:val="Nadpis3"/>
        <w:ind w:left="709"/>
      </w:pPr>
      <w:bookmarkStart w:id="29" w:name="_Toc69551"/>
      <w:bookmarkStart w:id="30" w:name="_Toc422390679"/>
      <w:r>
        <w:t>Finančné prínosy</w:t>
      </w:r>
      <w:bookmarkEnd w:id="30"/>
      <w:r>
        <w:t xml:space="preserve"> </w:t>
      </w:r>
      <w:bookmarkEnd w:id="29"/>
    </w:p>
    <w:p w14:paraId="1BA8ED7C" w14:textId="77777777" w:rsidR="00444D9E" w:rsidRDefault="00444D9E" w:rsidP="00444D9E">
      <w:r>
        <w:t xml:space="preserve">Finančné prínosy sú priame peňažné príjmy zaplatené používateľom služieb poskytovateľovi vo forme administratívnych poplatkov (ako napr. správne poplatky, kolky, súdne poplatky, pokuty a pod.). Finančné príjmy sú priamymi príjmami verejného rozpočtu z poskytovania služieb daného úseku.  </w:t>
      </w:r>
    </w:p>
    <w:p w14:paraId="3AAB7B60" w14:textId="6692AB6A" w:rsidR="00444D9E" w:rsidRDefault="00444D9E" w:rsidP="00444D9E">
      <w:pPr>
        <w:pStyle w:val="Nadpis3"/>
        <w:ind w:left="709"/>
      </w:pPr>
      <w:bookmarkStart w:id="31" w:name="_Toc69552"/>
      <w:bookmarkStart w:id="32" w:name="_Toc422390680"/>
      <w:r>
        <w:t>Ekonomické prínosy</w:t>
      </w:r>
      <w:bookmarkEnd w:id="32"/>
      <w:r>
        <w:t xml:space="preserve"> </w:t>
      </w:r>
      <w:bookmarkEnd w:id="31"/>
    </w:p>
    <w:p w14:paraId="5FA8D6BC" w14:textId="60A87662" w:rsidR="00444D9E" w:rsidRDefault="00444D9E" w:rsidP="00444D9E">
      <w:r>
        <w:t xml:space="preserve">Ekonomické prínosy sú finančné prínosy rozšírené o nepriame prínosy z projektu a predstavujú širšie dopady realizovaného projektu a nasadenia elektronických služieb daného úseku. Ekonomické príjmy sa uvádzajú iba pri alternatíve B, resp. alternatíva </w:t>
      </w:r>
      <w:r w:rsidR="003A0F8F">
        <w:t xml:space="preserve">A </w:t>
      </w:r>
      <w:r>
        <w:t xml:space="preserve">má ekonomické prínosy na úrovni finančných prínosov. Nepriame prínosy majú formu časovej úspory používateľa služby, vyplývajúcej z lepšej dostupnosti elektronických služieb, ktorá je prepočtom </w:t>
      </w:r>
      <w:proofErr w:type="spellStart"/>
      <w:r>
        <w:t>monetarizovaná</w:t>
      </w:r>
      <w:proofErr w:type="spellEnd"/>
      <w:r>
        <w:t xml:space="preserve"> a vyjadrená v €. Ďalšou formou nepriamych prínosov sú ostatné daňové a nedaňové príjmy, kvalitatívne prínosy   v peňažnom vyjadrení.  </w:t>
      </w:r>
    </w:p>
    <w:p w14:paraId="176134E0" w14:textId="468DCBEC" w:rsidR="008C0505" w:rsidRDefault="008C0505">
      <w:pPr>
        <w:spacing w:after="160" w:line="259" w:lineRule="auto"/>
        <w:jc w:val="left"/>
      </w:pPr>
      <w:r>
        <w:br w:type="page"/>
      </w:r>
    </w:p>
    <w:p w14:paraId="55012865" w14:textId="77777777" w:rsidR="008C0505" w:rsidRDefault="008C0505" w:rsidP="008C0505">
      <w:pPr>
        <w:sectPr w:rsidR="008C0505" w:rsidSect="00F80C77">
          <w:pgSz w:w="11906" w:h="16838"/>
          <w:pgMar w:top="1417" w:right="1417" w:bottom="1417" w:left="1417" w:header="708" w:footer="708" w:gutter="0"/>
          <w:cols w:space="708"/>
          <w:docGrid w:linePitch="360"/>
        </w:sectPr>
      </w:pPr>
    </w:p>
    <w:p w14:paraId="6A7A3432" w14:textId="5A76744A" w:rsidR="00A66D5D" w:rsidRDefault="00A66D5D" w:rsidP="00B44676">
      <w:pPr>
        <w:pStyle w:val="Popis"/>
        <w:keepNext/>
        <w:jc w:val="left"/>
      </w:pPr>
      <w:bookmarkStart w:id="33" w:name="_Toc422390692"/>
      <w:r>
        <w:t xml:space="preserve">Tabuľka </w:t>
      </w:r>
      <w:r w:rsidR="00C067C9">
        <w:fldChar w:fldCharType="begin"/>
      </w:r>
      <w:r w:rsidR="00C067C9">
        <w:instrText xml:space="preserve"> SEQ Tabuľka \* ARABIC </w:instrText>
      </w:r>
      <w:r w:rsidR="00C067C9">
        <w:fldChar w:fldCharType="separate"/>
      </w:r>
      <w:r>
        <w:rPr>
          <w:noProof/>
        </w:rPr>
        <w:t>3</w:t>
      </w:r>
      <w:r w:rsidR="00C067C9">
        <w:rPr>
          <w:noProof/>
        </w:rPr>
        <w:fldChar w:fldCharType="end"/>
      </w:r>
      <w:r>
        <w:t xml:space="preserve"> Prínosy</w:t>
      </w:r>
      <w:bookmarkEnd w:id="33"/>
    </w:p>
    <w:tbl>
      <w:tblPr>
        <w:tblStyle w:val="GridTable6Colorful-Accent31"/>
        <w:tblW w:w="5000" w:type="pct"/>
        <w:tblLayout w:type="fixed"/>
        <w:tblLook w:val="04A0" w:firstRow="1" w:lastRow="0" w:firstColumn="1" w:lastColumn="0" w:noHBand="0" w:noVBand="1"/>
      </w:tblPr>
      <w:tblGrid>
        <w:gridCol w:w="1021"/>
        <w:gridCol w:w="5040"/>
        <w:gridCol w:w="8159"/>
      </w:tblGrid>
      <w:tr w:rsidR="00A66D5D" w:rsidRPr="0071264A" w14:paraId="3C74579C" w14:textId="77777777" w:rsidTr="00A66D5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59"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2877964A" w14:textId="77777777" w:rsidR="00A66D5D" w:rsidRPr="0071264A" w:rsidRDefault="00A66D5D" w:rsidP="008C0505">
            <w:pPr>
              <w:jc w:val="left"/>
              <w:rPr>
                <w:color w:val="auto"/>
              </w:rPr>
            </w:pPr>
            <w:r>
              <w:rPr>
                <w:color w:val="auto"/>
              </w:rPr>
              <w:t>Typ projektu</w:t>
            </w:r>
          </w:p>
        </w:tc>
        <w:tc>
          <w:tcPr>
            <w:tcW w:w="1772" w:type="pct"/>
            <w:tcBorders>
              <w:top w:val="single" w:sz="18" w:space="0" w:color="auto"/>
              <w:left w:val="single" w:sz="4" w:space="0" w:color="auto"/>
              <w:bottom w:val="single" w:sz="18" w:space="0" w:color="auto"/>
            </w:tcBorders>
            <w:shd w:val="clear" w:color="auto" w:fill="A6A6A6" w:themeFill="background1" w:themeFillShade="A6"/>
          </w:tcPr>
          <w:p w14:paraId="0ECD686E" w14:textId="0636F95C" w:rsidR="00A66D5D" w:rsidRPr="0071264A" w:rsidRDefault="00A66D5D" w:rsidP="00670016">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Názov prínosu</w:t>
            </w:r>
          </w:p>
        </w:tc>
        <w:tc>
          <w:tcPr>
            <w:tcW w:w="2869" w:type="pct"/>
            <w:tcBorders>
              <w:top w:val="single" w:sz="18" w:space="0" w:color="auto"/>
              <w:bottom w:val="single" w:sz="18" w:space="0" w:color="auto"/>
              <w:right w:val="single" w:sz="18" w:space="0" w:color="auto"/>
            </w:tcBorders>
            <w:shd w:val="clear" w:color="auto" w:fill="A6A6A6" w:themeFill="background1" w:themeFillShade="A6"/>
          </w:tcPr>
          <w:p w14:paraId="78219C41" w14:textId="2C49EF4F" w:rsidR="00A66D5D" w:rsidRPr="003A4E09" w:rsidRDefault="00A66D5D" w:rsidP="008C0505">
            <w:pPr>
              <w:cnfStyle w:val="100000000000" w:firstRow="1" w:lastRow="0" w:firstColumn="0" w:lastColumn="0" w:oddVBand="0" w:evenVBand="0" w:oddHBand="0" w:evenHBand="0" w:firstRowFirstColumn="0" w:firstRowLastColumn="0" w:lastRowFirstColumn="0" w:lastRowLastColumn="0"/>
            </w:pPr>
            <w:r>
              <w:rPr>
                <w:color w:val="auto"/>
              </w:rPr>
              <w:t>Popis</w:t>
            </w:r>
          </w:p>
        </w:tc>
      </w:tr>
      <w:tr w:rsidR="008C0505" w:rsidRPr="0071264A" w14:paraId="1A736B8B"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bottom w:val="single" w:sz="18" w:space="0" w:color="auto"/>
              <w:right w:val="single" w:sz="18" w:space="0" w:color="auto"/>
            </w:tcBorders>
          </w:tcPr>
          <w:p w14:paraId="5651C806" w14:textId="77777777" w:rsidR="008C0505" w:rsidRPr="003A4E09" w:rsidRDefault="008C0505" w:rsidP="008C0505">
            <w:pPr>
              <w:jc w:val="left"/>
              <w:rPr>
                <w:sz w:val="24"/>
              </w:rPr>
            </w:pPr>
            <w:r w:rsidRPr="003A4E09">
              <w:rPr>
                <w:color w:val="auto"/>
                <w:sz w:val="24"/>
              </w:rPr>
              <w:t>Projekt zameraný na  životné situácie</w:t>
            </w:r>
          </w:p>
        </w:tc>
      </w:tr>
      <w:tr w:rsidR="008C0505" w:rsidRPr="0071264A" w14:paraId="41E55AA9" w14:textId="77777777" w:rsidTr="008C0505">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bottom w:val="single" w:sz="4" w:space="0" w:color="auto"/>
              <w:right w:val="single" w:sz="4" w:space="0" w:color="auto"/>
            </w:tcBorders>
          </w:tcPr>
          <w:p w14:paraId="58F17369" w14:textId="732CFD51" w:rsidR="008C0505" w:rsidRPr="00A97FE0" w:rsidRDefault="00A66D5D" w:rsidP="008C0505">
            <w:pPr>
              <w:jc w:val="left"/>
              <w:rPr>
                <w:color w:val="5B9BD5" w:themeColor="accent1"/>
              </w:rPr>
            </w:pPr>
            <w:r>
              <w:rPr>
                <w:color w:val="5B9BD5" w:themeColor="accent1"/>
              </w:rPr>
              <w:t>Ekonomické prínosy</w:t>
            </w:r>
          </w:p>
        </w:tc>
      </w:tr>
      <w:tr w:rsidR="00A66D5D" w:rsidRPr="0071264A" w14:paraId="2E2E9811"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top w:val="single" w:sz="4" w:space="0" w:color="auto"/>
              <w:left w:val="single" w:sz="4" w:space="0" w:color="auto"/>
              <w:right w:val="single" w:sz="18" w:space="0" w:color="auto"/>
            </w:tcBorders>
          </w:tcPr>
          <w:p w14:paraId="16D3E53B" w14:textId="77777777" w:rsidR="00A66D5D" w:rsidRPr="0071264A" w:rsidRDefault="00A66D5D" w:rsidP="00A66D5D"/>
        </w:tc>
        <w:tc>
          <w:tcPr>
            <w:tcW w:w="1772" w:type="pct"/>
            <w:tcBorders>
              <w:top w:val="single" w:sz="4" w:space="0" w:color="auto"/>
              <w:left w:val="single" w:sz="18" w:space="0" w:color="auto"/>
            </w:tcBorders>
          </w:tcPr>
          <w:p w14:paraId="5A0DC81F" w14:textId="0316FBFC" w:rsidR="00A66D5D" w:rsidRPr="004F1162" w:rsidRDefault="00C067C9" w:rsidP="00A66D5D">
            <w:pPr>
              <w:cnfStyle w:val="000000100000" w:firstRow="0" w:lastRow="0" w:firstColumn="0" w:lastColumn="0" w:oddVBand="0" w:evenVBand="0" w:oddHBand="1"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cloudové služby</m:t>
                    </m:r>
                  </m:e>
                </m:nary>
              </m:oMath>
            </m:oMathPara>
          </w:p>
        </w:tc>
        <w:tc>
          <w:tcPr>
            <w:tcW w:w="2869" w:type="pct"/>
            <w:tcBorders>
              <w:top w:val="single" w:sz="4" w:space="0" w:color="auto"/>
              <w:right w:val="single" w:sz="4" w:space="0" w:color="auto"/>
            </w:tcBorders>
          </w:tcPr>
          <w:p w14:paraId="39E20034" w14:textId="74E74A1B" w:rsidR="00A66D5D" w:rsidRDefault="00A66D5D" w:rsidP="00A66D5D">
            <w:pPr>
              <w:cnfStyle w:val="000000100000" w:firstRow="0" w:lastRow="0" w:firstColumn="0" w:lastColumn="0" w:oddVBand="0" w:evenVBand="0" w:oddHBand="1" w:evenHBand="0" w:firstRowFirstColumn="0" w:firstRowLastColumn="0" w:lastRowFirstColumn="0" w:lastRowLastColumn="0"/>
            </w:pPr>
            <w:r w:rsidRPr="00A66D5D">
              <w:rPr>
                <w:color w:val="auto"/>
              </w:rPr>
              <w:t xml:space="preserve">Úspora z prevádzky pri využívaní </w:t>
            </w:r>
            <w:proofErr w:type="spellStart"/>
            <w:r w:rsidRPr="00A66D5D">
              <w:rPr>
                <w:color w:val="auto"/>
              </w:rPr>
              <w:t>cloudových</w:t>
            </w:r>
            <w:proofErr w:type="spellEnd"/>
            <w:r w:rsidRPr="00A66D5D">
              <w:rPr>
                <w:color w:val="auto"/>
              </w:rPr>
              <w:t xml:space="preserve"> služieb</w:t>
            </w:r>
            <w:r>
              <w:rPr>
                <w:color w:val="auto"/>
              </w:rPr>
              <w:t xml:space="preserve"> z ktorých je zložené vyriešenie životnej situácie.</w:t>
            </w:r>
          </w:p>
        </w:tc>
      </w:tr>
      <w:tr w:rsidR="00424E5E" w:rsidRPr="0071264A" w14:paraId="7D081A6C"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top w:val="single" w:sz="4" w:space="0" w:color="auto"/>
              <w:left w:val="single" w:sz="4" w:space="0" w:color="auto"/>
              <w:right w:val="single" w:sz="18" w:space="0" w:color="auto"/>
            </w:tcBorders>
          </w:tcPr>
          <w:p w14:paraId="48C9DC92" w14:textId="77777777" w:rsidR="00424E5E" w:rsidRPr="0071264A" w:rsidRDefault="00424E5E" w:rsidP="00A66D5D"/>
        </w:tc>
        <w:tc>
          <w:tcPr>
            <w:tcW w:w="1772" w:type="pct"/>
            <w:tcBorders>
              <w:top w:val="single" w:sz="4" w:space="0" w:color="auto"/>
              <w:left w:val="single" w:sz="18" w:space="0" w:color="auto"/>
            </w:tcBorders>
          </w:tcPr>
          <w:p w14:paraId="031FA6F5" w14:textId="03453869" w:rsidR="00424E5E" w:rsidRDefault="00424E5E" w:rsidP="00A66D5D">
            <w:pPr>
              <w:cnfStyle w:val="000000000000" w:firstRow="0" w:lastRow="0" w:firstColumn="0" w:lastColumn="0" w:oddVBand="0" w:evenVBand="0" w:oddHBand="0" w:evenHBand="0" w:firstRowFirstColumn="0" w:firstRowLastColumn="0" w:lastRowFirstColumn="0" w:lastRowLastColumn="0"/>
            </w:pPr>
            <w:r w:rsidRPr="00F94BA5">
              <w:rPr>
                <w:color w:val="auto"/>
              </w:rPr>
              <w:t xml:space="preserve">Cena ušetreného času </w:t>
            </w:r>
            <w:r>
              <w:rPr>
                <w:color w:val="auto"/>
              </w:rPr>
              <w:t>subjektu</w:t>
            </w:r>
          </w:p>
        </w:tc>
        <w:tc>
          <w:tcPr>
            <w:tcW w:w="2869" w:type="pct"/>
            <w:tcBorders>
              <w:top w:val="single" w:sz="4" w:space="0" w:color="auto"/>
              <w:right w:val="single" w:sz="4" w:space="0" w:color="auto"/>
            </w:tcBorders>
          </w:tcPr>
          <w:p w14:paraId="7054B747" w14:textId="77777777" w:rsidR="00424E5E" w:rsidRPr="00A66D5D" w:rsidRDefault="00424E5E" w:rsidP="00A66D5D">
            <w:pPr>
              <w:cnfStyle w:val="000000000000" w:firstRow="0" w:lastRow="0" w:firstColumn="0" w:lastColumn="0" w:oddVBand="0" w:evenVBand="0" w:oddHBand="0" w:evenHBand="0" w:firstRowFirstColumn="0" w:firstRowLastColumn="0" w:lastRowFirstColumn="0" w:lastRowLastColumn="0"/>
            </w:pPr>
          </w:p>
        </w:tc>
      </w:tr>
      <w:tr w:rsidR="00A66D5D" w:rsidRPr="0071264A" w14:paraId="62E0A9E4"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C8CA176" w14:textId="77777777" w:rsidR="00A66D5D" w:rsidRPr="0071264A" w:rsidRDefault="00A66D5D" w:rsidP="008C0505">
            <w:pPr>
              <w:rPr>
                <w:color w:val="auto"/>
              </w:rPr>
            </w:pPr>
          </w:p>
        </w:tc>
        <w:tc>
          <w:tcPr>
            <w:tcW w:w="1772" w:type="pct"/>
            <w:tcBorders>
              <w:left w:val="single" w:sz="18" w:space="0" w:color="auto"/>
            </w:tcBorders>
          </w:tcPr>
          <w:p w14:paraId="4A1B0B2D" w14:textId="47E42783" w:rsidR="00A66D5D" w:rsidRPr="00FC1065" w:rsidRDefault="00F94BA5" w:rsidP="008C0505">
            <w:pPr>
              <w:jc w:val="left"/>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Kvalitatívne prínosy vo finančnom vyjadrení</w:t>
            </w:r>
          </w:p>
        </w:tc>
        <w:tc>
          <w:tcPr>
            <w:tcW w:w="2869" w:type="pct"/>
            <w:tcBorders>
              <w:right w:val="single" w:sz="4" w:space="0" w:color="auto"/>
            </w:tcBorders>
          </w:tcPr>
          <w:p w14:paraId="793434F6" w14:textId="77777777" w:rsidR="00A66D5D" w:rsidRDefault="00A66D5D" w:rsidP="008C0505">
            <w:pPr>
              <w:cnfStyle w:val="000000100000" w:firstRow="0" w:lastRow="0" w:firstColumn="0" w:lastColumn="0" w:oddVBand="0" w:evenVBand="0" w:oddHBand="1" w:evenHBand="0" w:firstRowFirstColumn="0" w:firstRowLastColumn="0" w:lastRowFirstColumn="0" w:lastRowLastColumn="0"/>
            </w:pPr>
          </w:p>
        </w:tc>
      </w:tr>
      <w:tr w:rsidR="008C0505" w:rsidRPr="0071264A" w14:paraId="0E3B7CEE"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5FE278A7" w14:textId="70E25A62" w:rsidR="008C0505" w:rsidRPr="00274028" w:rsidRDefault="00A66D5D" w:rsidP="008C0505">
            <w:pPr>
              <w:jc w:val="left"/>
              <w:rPr>
                <w:color w:val="5B9BD5" w:themeColor="accent1"/>
              </w:rPr>
            </w:pPr>
            <w:r>
              <w:rPr>
                <w:color w:val="5B9BD5" w:themeColor="accent1"/>
              </w:rPr>
              <w:t>Finančné prínosy</w:t>
            </w:r>
          </w:p>
        </w:tc>
      </w:tr>
      <w:tr w:rsidR="00A66D5D" w:rsidRPr="0071264A" w14:paraId="72DDB60D"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B347D45" w14:textId="77777777" w:rsidR="00A66D5D" w:rsidRPr="0071264A" w:rsidRDefault="00A66D5D" w:rsidP="008C0505"/>
        </w:tc>
        <w:tc>
          <w:tcPr>
            <w:tcW w:w="1772" w:type="pct"/>
            <w:tcBorders>
              <w:left w:val="single" w:sz="18" w:space="0" w:color="auto"/>
            </w:tcBorders>
          </w:tcPr>
          <w:p w14:paraId="47B68C7E" w14:textId="16D8C629" w:rsidR="00A66D5D" w:rsidRPr="004F1162" w:rsidRDefault="00A66D5D" w:rsidP="00670016">
            <w:pPr>
              <w:cnfStyle w:val="000000100000" w:firstRow="0" w:lastRow="0" w:firstColumn="0" w:lastColumn="0" w:oddVBand="0" w:evenVBand="0" w:oddHBand="1" w:evenHBand="0" w:firstRowFirstColumn="0" w:firstRowLastColumn="0" w:lastRowFirstColumn="0" w:lastRowLastColumn="0"/>
              <w:rPr>
                <w:color w:val="auto"/>
              </w:rPr>
            </w:pPr>
          </w:p>
        </w:tc>
        <w:tc>
          <w:tcPr>
            <w:tcW w:w="2869" w:type="pct"/>
            <w:tcBorders>
              <w:right w:val="single" w:sz="4" w:space="0" w:color="auto"/>
            </w:tcBorders>
          </w:tcPr>
          <w:p w14:paraId="50D768D6" w14:textId="39A0487C" w:rsidR="00A66D5D" w:rsidRPr="00274028" w:rsidRDefault="00A66D5D" w:rsidP="008C0505">
            <w:pPr>
              <w:cnfStyle w:val="000000100000" w:firstRow="0" w:lastRow="0" w:firstColumn="0" w:lastColumn="0" w:oddVBand="0" w:evenVBand="0" w:oddHBand="1" w:evenHBand="0" w:firstRowFirstColumn="0" w:firstRowLastColumn="0" w:lastRowFirstColumn="0" w:lastRowLastColumn="0"/>
            </w:pPr>
          </w:p>
        </w:tc>
      </w:tr>
      <w:tr w:rsidR="008C0505" w:rsidRPr="0071264A" w14:paraId="53D9CCC3"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bottom w:val="single" w:sz="18" w:space="0" w:color="auto"/>
              <w:right w:val="single" w:sz="18" w:space="0" w:color="auto"/>
            </w:tcBorders>
          </w:tcPr>
          <w:p w14:paraId="4D7670FF" w14:textId="77777777" w:rsidR="008C0505" w:rsidRDefault="008C0505" w:rsidP="008C0505">
            <w:pPr>
              <w:jc w:val="left"/>
            </w:pPr>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8C0505" w:rsidRPr="0071264A" w14:paraId="110894BC"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right w:val="single" w:sz="4" w:space="0" w:color="auto"/>
            </w:tcBorders>
          </w:tcPr>
          <w:p w14:paraId="659144C8" w14:textId="19B67F84" w:rsidR="008C0505" w:rsidRPr="00A97FE0" w:rsidRDefault="00A66D5D" w:rsidP="008C0505">
            <w:pPr>
              <w:jc w:val="left"/>
              <w:rPr>
                <w:color w:val="5B9BD5" w:themeColor="accent1"/>
              </w:rPr>
            </w:pPr>
            <w:r>
              <w:rPr>
                <w:color w:val="5B9BD5" w:themeColor="accent1"/>
              </w:rPr>
              <w:t>Ekonomické prínosy</w:t>
            </w:r>
          </w:p>
        </w:tc>
      </w:tr>
      <w:tr w:rsidR="00A66D5D" w:rsidRPr="0071264A" w14:paraId="19FA2B05"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13EAF3D" w14:textId="77777777" w:rsidR="00A66D5D" w:rsidRPr="001D4F63" w:rsidRDefault="00A66D5D" w:rsidP="00A66D5D">
            <w:pPr>
              <w:spacing w:after="0"/>
              <w:rPr>
                <w:sz w:val="20"/>
                <w:szCs w:val="20"/>
              </w:rPr>
            </w:pPr>
          </w:p>
        </w:tc>
        <w:tc>
          <w:tcPr>
            <w:tcW w:w="1772" w:type="pct"/>
            <w:tcBorders>
              <w:left w:val="single" w:sz="18" w:space="0" w:color="auto"/>
            </w:tcBorders>
          </w:tcPr>
          <w:p w14:paraId="2CD580D1" w14:textId="57F1F7BC" w:rsidR="00A66D5D" w:rsidRPr="00670016" w:rsidRDefault="00C067C9" w:rsidP="00A66D5D">
            <w:pPr>
              <w:spacing w:after="0"/>
              <w:cnfStyle w:val="000000000000" w:firstRow="0" w:lastRow="0" w:firstColumn="0" w:lastColumn="0" w:oddVBand="0" w:evenVBand="0" w:oddHBand="0"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m:t>
                    </m:r>
                    <m:r>
                      <w:rPr>
                        <w:rFonts w:ascii="Cambria Math" w:hAnsi="Cambria Math"/>
                        <w:color w:val="auto"/>
                      </w:rPr>
                      <m:t>vé služby</m:t>
                    </m:r>
                  </m:e>
                </m:nary>
              </m:oMath>
            </m:oMathPara>
          </w:p>
        </w:tc>
        <w:tc>
          <w:tcPr>
            <w:tcW w:w="2869" w:type="pct"/>
            <w:tcBorders>
              <w:right w:val="single" w:sz="4" w:space="0" w:color="auto"/>
            </w:tcBorders>
          </w:tcPr>
          <w:p w14:paraId="0DFC0FE3" w14:textId="25FDB8F4" w:rsidR="00A66D5D" w:rsidRPr="00FC1065" w:rsidRDefault="00A66D5D" w:rsidP="00670016">
            <w:pPr>
              <w:spacing w:after="0"/>
              <w:cnfStyle w:val="000000000000" w:firstRow="0" w:lastRow="0" w:firstColumn="0" w:lastColumn="0" w:oddVBand="0" w:evenVBand="0" w:oddHBand="0" w:evenHBand="0" w:firstRowFirstColumn="0" w:firstRowLastColumn="0" w:lastRowFirstColumn="0" w:lastRowLastColumn="0"/>
            </w:pPr>
            <w:r w:rsidRPr="00A66D5D">
              <w:rPr>
                <w:color w:val="auto"/>
              </w:rPr>
              <w:t xml:space="preserve">Úspora z prevádzky pri využívaní </w:t>
            </w:r>
            <w:proofErr w:type="spellStart"/>
            <w:r w:rsidRPr="00A66D5D">
              <w:rPr>
                <w:color w:val="auto"/>
              </w:rPr>
              <w:t>cloudových</w:t>
            </w:r>
            <w:proofErr w:type="spellEnd"/>
            <w:r w:rsidRPr="00A66D5D">
              <w:rPr>
                <w:color w:val="auto"/>
              </w:rPr>
              <w:t xml:space="preserve"> služieb</w:t>
            </w:r>
            <w:r>
              <w:rPr>
                <w:color w:val="auto"/>
              </w:rPr>
              <w:t>.</w:t>
            </w:r>
          </w:p>
        </w:tc>
      </w:tr>
      <w:tr w:rsidR="00A66D5D" w:rsidRPr="0071264A" w14:paraId="0B489EF9" w14:textId="77777777" w:rsidTr="00B44676">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D511118" w14:textId="77777777" w:rsidR="00A66D5D" w:rsidRPr="001D4F63" w:rsidRDefault="00A66D5D" w:rsidP="00A66D5D">
            <w:pPr>
              <w:spacing w:after="0"/>
              <w:rPr>
                <w:sz w:val="20"/>
                <w:szCs w:val="20"/>
              </w:rPr>
            </w:pPr>
          </w:p>
        </w:tc>
        <w:tc>
          <w:tcPr>
            <w:tcW w:w="1772" w:type="pct"/>
            <w:tcBorders>
              <w:left w:val="single" w:sz="18" w:space="0" w:color="auto"/>
            </w:tcBorders>
          </w:tcPr>
          <w:p w14:paraId="1A099AFD" w14:textId="1379EE7F" w:rsidR="00A66D5D" w:rsidRPr="0098447D" w:rsidRDefault="00F94BA5" w:rsidP="006104A7">
            <w:pPr>
              <w:spacing w:after="0"/>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 xml:space="preserve">Cena ušetreného času </w:t>
            </w:r>
            <w:r w:rsidR="006104A7">
              <w:rPr>
                <w:color w:val="auto"/>
              </w:rPr>
              <w:t>subjektu</w:t>
            </w:r>
          </w:p>
        </w:tc>
        <w:tc>
          <w:tcPr>
            <w:tcW w:w="2869" w:type="pct"/>
            <w:tcBorders>
              <w:right w:val="single" w:sz="4" w:space="0" w:color="auto"/>
            </w:tcBorders>
          </w:tcPr>
          <w:p w14:paraId="4E6ECA02" w14:textId="77777777" w:rsidR="00A66D5D" w:rsidRPr="00FC1065" w:rsidRDefault="00A66D5D" w:rsidP="00A66D5D">
            <w:pPr>
              <w:spacing w:after="0"/>
              <w:cnfStyle w:val="000000100000" w:firstRow="0" w:lastRow="0" w:firstColumn="0" w:lastColumn="0" w:oddVBand="0" w:evenVBand="0" w:oddHBand="1" w:evenHBand="0" w:firstRowFirstColumn="0" w:firstRowLastColumn="0" w:lastRowFirstColumn="0" w:lastRowLastColumn="0"/>
            </w:pPr>
          </w:p>
        </w:tc>
      </w:tr>
      <w:tr w:rsidR="00A66D5D" w:rsidRPr="0071264A" w14:paraId="24FF82F9" w14:textId="77777777" w:rsidTr="00B44676">
        <w:trPr>
          <w:trHeight w:val="43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C076DAD" w14:textId="77777777" w:rsidR="00A66D5D" w:rsidRPr="001D4F63" w:rsidRDefault="00A66D5D" w:rsidP="00A66D5D">
            <w:pPr>
              <w:spacing w:after="0"/>
              <w:rPr>
                <w:sz w:val="20"/>
                <w:szCs w:val="20"/>
              </w:rPr>
            </w:pPr>
          </w:p>
        </w:tc>
        <w:tc>
          <w:tcPr>
            <w:tcW w:w="1772" w:type="pct"/>
            <w:tcBorders>
              <w:left w:val="single" w:sz="18" w:space="0" w:color="auto"/>
            </w:tcBorders>
          </w:tcPr>
          <w:p w14:paraId="44078108" w14:textId="618BC6A6" w:rsidR="00A66D5D" w:rsidRPr="00E35943" w:rsidRDefault="00F94BA5" w:rsidP="00A66D5D">
            <w:p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F94BA5">
              <w:rPr>
                <w:color w:val="auto"/>
              </w:rPr>
              <w:t>Kvalitatívne prínosy vo finančnom vyjadrení</w:t>
            </w:r>
          </w:p>
        </w:tc>
        <w:tc>
          <w:tcPr>
            <w:tcW w:w="2869" w:type="pct"/>
            <w:tcBorders>
              <w:right w:val="single" w:sz="4" w:space="0" w:color="auto"/>
            </w:tcBorders>
          </w:tcPr>
          <w:p w14:paraId="25A0CDAF" w14:textId="77777777" w:rsidR="00A66D5D" w:rsidRPr="00E35943" w:rsidRDefault="00A66D5D" w:rsidP="00A66D5D">
            <w:pPr>
              <w:spacing w:after="0"/>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1B91EFE1"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79506079" w14:textId="355E6B44" w:rsidR="00A66D5D" w:rsidRPr="00274028" w:rsidRDefault="00A66D5D" w:rsidP="00A66D5D">
            <w:pPr>
              <w:jc w:val="left"/>
              <w:rPr>
                <w:color w:val="5B9BD5" w:themeColor="accent1"/>
              </w:rPr>
            </w:pPr>
            <w:r>
              <w:rPr>
                <w:color w:val="5B9BD5" w:themeColor="accent1"/>
              </w:rPr>
              <w:t>Finančné prínosy</w:t>
            </w:r>
          </w:p>
        </w:tc>
      </w:tr>
      <w:tr w:rsidR="00A66D5D" w:rsidRPr="0071264A" w14:paraId="40767577"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8AC5032" w14:textId="77777777" w:rsidR="00A66D5D" w:rsidRPr="001D4F63" w:rsidRDefault="00A66D5D" w:rsidP="00A66D5D">
            <w:pPr>
              <w:rPr>
                <w:sz w:val="20"/>
                <w:szCs w:val="20"/>
              </w:rPr>
            </w:pPr>
          </w:p>
        </w:tc>
        <w:tc>
          <w:tcPr>
            <w:tcW w:w="1772" w:type="pct"/>
            <w:tcBorders>
              <w:left w:val="single" w:sz="18" w:space="0" w:color="auto"/>
            </w:tcBorders>
          </w:tcPr>
          <w:p w14:paraId="158D769E" w14:textId="5133AAF4" w:rsidR="00A66D5D" w:rsidRPr="00E35943" w:rsidRDefault="00F94BA5" w:rsidP="00A66D5D">
            <w:pPr>
              <w:jc w:val="left"/>
              <w:cnfStyle w:val="000000000000" w:firstRow="0" w:lastRow="0" w:firstColumn="0" w:lastColumn="0" w:oddVBand="0" w:evenVBand="0" w:oddHBand="0" w:evenHBand="0" w:firstRowFirstColumn="0" w:firstRowLastColumn="0" w:lastRowFirstColumn="0" w:lastRowLastColumn="0"/>
              <w:rPr>
                <w:color w:val="auto"/>
              </w:rPr>
            </w:pPr>
            <w:r w:rsidRPr="00F94BA5">
              <w:rPr>
                <w:color w:val="auto"/>
              </w:rPr>
              <w:t>Administratívne poplatky</w:t>
            </w:r>
          </w:p>
        </w:tc>
        <w:tc>
          <w:tcPr>
            <w:tcW w:w="2869" w:type="pct"/>
            <w:tcBorders>
              <w:right w:val="single" w:sz="4" w:space="0" w:color="auto"/>
            </w:tcBorders>
          </w:tcPr>
          <w:p w14:paraId="4138F0B0" w14:textId="6D540A35"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365D24C6"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B8534CB" w14:textId="77777777" w:rsidR="00A66D5D" w:rsidRPr="001D4F63" w:rsidRDefault="00A66D5D" w:rsidP="00A66D5D">
            <w:pPr>
              <w:rPr>
                <w:sz w:val="20"/>
                <w:szCs w:val="20"/>
              </w:rPr>
            </w:pPr>
          </w:p>
        </w:tc>
        <w:tc>
          <w:tcPr>
            <w:tcW w:w="1772" w:type="pct"/>
            <w:tcBorders>
              <w:left w:val="single" w:sz="18" w:space="0" w:color="auto"/>
            </w:tcBorders>
          </w:tcPr>
          <w:p w14:paraId="60470C10" w14:textId="0E4B9793" w:rsidR="00A66D5D" w:rsidRPr="00E35943" w:rsidRDefault="00F94BA5" w:rsidP="00A66D5D">
            <w:pPr>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Ostatné daňové a nedaňové príjmy</w:t>
            </w:r>
          </w:p>
        </w:tc>
        <w:tc>
          <w:tcPr>
            <w:tcW w:w="2869" w:type="pct"/>
            <w:tcBorders>
              <w:right w:val="single" w:sz="4" w:space="0" w:color="auto"/>
            </w:tcBorders>
          </w:tcPr>
          <w:p w14:paraId="0B3CCBA5" w14:textId="77777777" w:rsidR="00A66D5D" w:rsidRPr="00E35943" w:rsidRDefault="00A66D5D" w:rsidP="00A66D5D">
            <w:pPr>
              <w:cnfStyle w:val="000000100000" w:firstRow="0" w:lastRow="0" w:firstColumn="0" w:lastColumn="0" w:oddVBand="0" w:evenVBand="0" w:oddHBand="1" w:evenHBand="0" w:firstRowFirstColumn="0" w:firstRowLastColumn="0" w:lastRowFirstColumn="0" w:lastRowLastColumn="0"/>
              <w:rPr>
                <w:color w:val="auto"/>
              </w:rPr>
            </w:pPr>
          </w:p>
        </w:tc>
      </w:tr>
      <w:tr w:rsidR="00A66D5D" w:rsidRPr="0071264A" w14:paraId="7C55CA70"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E58A3BC" w14:textId="77777777" w:rsidR="00A66D5D" w:rsidRPr="001D4F63" w:rsidRDefault="00A66D5D" w:rsidP="00A66D5D">
            <w:pPr>
              <w:rPr>
                <w:sz w:val="20"/>
                <w:szCs w:val="20"/>
              </w:rPr>
            </w:pPr>
          </w:p>
        </w:tc>
        <w:tc>
          <w:tcPr>
            <w:tcW w:w="1772" w:type="pct"/>
            <w:tcBorders>
              <w:left w:val="single" w:sz="18" w:space="0" w:color="auto"/>
            </w:tcBorders>
          </w:tcPr>
          <w:p w14:paraId="198E3B0A" w14:textId="0A595B7D"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c>
          <w:tcPr>
            <w:tcW w:w="2869" w:type="pct"/>
            <w:tcBorders>
              <w:right w:val="single" w:sz="4" w:space="0" w:color="auto"/>
            </w:tcBorders>
          </w:tcPr>
          <w:p w14:paraId="2137FF9C" w14:textId="77777777"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0C85EA99"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right w:val="single" w:sz="18" w:space="0" w:color="auto"/>
            </w:tcBorders>
          </w:tcPr>
          <w:p w14:paraId="02442D2E" w14:textId="77777777" w:rsidR="00A66D5D" w:rsidRDefault="00A66D5D" w:rsidP="00A66D5D">
            <w:pPr>
              <w:jc w:val="left"/>
            </w:pPr>
            <w:r>
              <w:rPr>
                <w:color w:val="auto"/>
              </w:rPr>
              <w:t>Projekt zameraný</w:t>
            </w:r>
            <w:r w:rsidRPr="00A97FE0">
              <w:rPr>
                <w:color w:val="auto"/>
              </w:rPr>
              <w:t xml:space="preserve"> na </w:t>
            </w:r>
            <w:proofErr w:type="spellStart"/>
            <w:r w:rsidRPr="00A97FE0">
              <w:rPr>
                <w:color w:val="auto"/>
              </w:rPr>
              <w:t>cloudové</w:t>
            </w:r>
            <w:proofErr w:type="spellEnd"/>
            <w:r w:rsidRPr="00A97FE0">
              <w:rPr>
                <w:color w:val="auto"/>
              </w:rPr>
              <w:t xml:space="preserve"> služby</w:t>
            </w:r>
          </w:p>
        </w:tc>
      </w:tr>
      <w:tr w:rsidR="00A66D5D" w:rsidRPr="0071264A" w14:paraId="08AB0C2E"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right w:val="single" w:sz="4" w:space="0" w:color="auto"/>
            </w:tcBorders>
          </w:tcPr>
          <w:p w14:paraId="08859B7F" w14:textId="12BBAE22" w:rsidR="00A66D5D" w:rsidRPr="00A97FE0" w:rsidRDefault="00A66D5D" w:rsidP="00A66D5D">
            <w:pPr>
              <w:jc w:val="left"/>
              <w:rPr>
                <w:color w:val="5B9BD5" w:themeColor="accent1"/>
              </w:rPr>
            </w:pPr>
            <w:r>
              <w:rPr>
                <w:color w:val="5B9BD5" w:themeColor="accent1"/>
              </w:rPr>
              <w:t>Ekonomické prínosy</w:t>
            </w:r>
          </w:p>
        </w:tc>
      </w:tr>
      <w:tr w:rsidR="00A66D5D" w:rsidRPr="0071264A" w14:paraId="4793A11A" w14:textId="77777777" w:rsidTr="00B4467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4FEFC02" w14:textId="77777777" w:rsidR="00A66D5D" w:rsidRPr="0071264A" w:rsidRDefault="00A66D5D" w:rsidP="00A66D5D">
            <w:pPr>
              <w:rPr>
                <w:b w:val="0"/>
              </w:rPr>
            </w:pPr>
          </w:p>
        </w:tc>
        <w:tc>
          <w:tcPr>
            <w:tcW w:w="1772" w:type="pct"/>
            <w:tcBorders>
              <w:left w:val="single" w:sz="18" w:space="0" w:color="auto"/>
            </w:tcBorders>
          </w:tcPr>
          <w:p w14:paraId="6516AD9C" w14:textId="60E52DD4" w:rsidR="00A66D5D" w:rsidRPr="00B44676" w:rsidRDefault="00C067C9" w:rsidP="00A66D5D">
            <w:pPr>
              <w:jc w:val="left"/>
              <w:cnfStyle w:val="000000100000" w:firstRow="0" w:lastRow="0" w:firstColumn="0" w:lastColumn="0" w:oddVBand="0" w:evenVBand="0" w:oddHBand="1"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cloudové služby</m:t>
                    </m:r>
                  </m:e>
                </m:nary>
              </m:oMath>
            </m:oMathPara>
          </w:p>
        </w:tc>
        <w:tc>
          <w:tcPr>
            <w:tcW w:w="2869" w:type="pct"/>
            <w:tcBorders>
              <w:right w:val="single" w:sz="4" w:space="0" w:color="auto"/>
            </w:tcBorders>
          </w:tcPr>
          <w:p w14:paraId="6F165A50" w14:textId="6501A7B5" w:rsidR="00A66D5D" w:rsidRDefault="00A66D5D" w:rsidP="00670016">
            <w:pPr>
              <w:cnfStyle w:val="000000100000" w:firstRow="0" w:lastRow="0" w:firstColumn="0" w:lastColumn="0" w:oddVBand="0" w:evenVBand="0" w:oddHBand="1" w:evenHBand="0" w:firstRowFirstColumn="0" w:firstRowLastColumn="0" w:lastRowFirstColumn="0" w:lastRowLastColumn="0"/>
            </w:pPr>
            <w:r w:rsidRPr="00A66D5D">
              <w:rPr>
                <w:color w:val="auto"/>
              </w:rPr>
              <w:t xml:space="preserve">Úspora z prevádzky pri využívaní </w:t>
            </w:r>
            <w:r>
              <w:rPr>
                <w:color w:val="auto"/>
              </w:rPr>
              <w:t xml:space="preserve">iných </w:t>
            </w:r>
            <w:proofErr w:type="spellStart"/>
            <w:r w:rsidRPr="00A66D5D">
              <w:rPr>
                <w:color w:val="auto"/>
              </w:rPr>
              <w:t>cloudových</w:t>
            </w:r>
            <w:proofErr w:type="spellEnd"/>
            <w:r>
              <w:rPr>
                <w:color w:val="auto"/>
              </w:rPr>
              <w:t>.</w:t>
            </w:r>
          </w:p>
        </w:tc>
      </w:tr>
      <w:tr w:rsidR="00A66D5D" w:rsidRPr="0071264A" w14:paraId="5DBA5FD3" w14:textId="77777777" w:rsidTr="00B44676">
        <w:trPr>
          <w:trHeight w:val="185"/>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05984DF9" w14:textId="77777777" w:rsidR="00A66D5D" w:rsidRPr="0071264A" w:rsidRDefault="00A66D5D" w:rsidP="00A66D5D">
            <w:pPr>
              <w:rPr>
                <w:b w:val="0"/>
              </w:rPr>
            </w:pPr>
          </w:p>
        </w:tc>
        <w:tc>
          <w:tcPr>
            <w:tcW w:w="1772" w:type="pct"/>
            <w:tcBorders>
              <w:left w:val="single" w:sz="18" w:space="0" w:color="auto"/>
            </w:tcBorders>
          </w:tcPr>
          <w:p w14:paraId="3EF3EFAC" w14:textId="271D1918" w:rsidR="00A66D5D" w:rsidRPr="00B44676" w:rsidRDefault="00F94BA5" w:rsidP="00A66D5D">
            <w:pPr>
              <w:jc w:val="left"/>
              <w:cnfStyle w:val="000000000000" w:firstRow="0" w:lastRow="0" w:firstColumn="0" w:lastColumn="0" w:oddVBand="0" w:evenVBand="0" w:oddHBand="0" w:evenHBand="0" w:firstRowFirstColumn="0" w:firstRowLastColumn="0" w:lastRowFirstColumn="0" w:lastRowLastColumn="0"/>
              <w:rPr>
                <w:color w:val="auto"/>
              </w:rPr>
            </w:pPr>
            <w:r w:rsidRPr="00B44676">
              <w:rPr>
                <w:color w:val="auto"/>
              </w:rPr>
              <w:t>Kvalitatívne prínosy vo finančnom vyjadrení</w:t>
            </w:r>
          </w:p>
        </w:tc>
        <w:tc>
          <w:tcPr>
            <w:tcW w:w="2869" w:type="pct"/>
            <w:tcBorders>
              <w:right w:val="single" w:sz="4" w:space="0" w:color="auto"/>
            </w:tcBorders>
          </w:tcPr>
          <w:p w14:paraId="18750E82" w14:textId="77777777" w:rsidR="00A66D5D" w:rsidRDefault="00A66D5D" w:rsidP="00A66D5D">
            <w:pPr>
              <w:cnfStyle w:val="000000000000" w:firstRow="0" w:lastRow="0" w:firstColumn="0" w:lastColumn="0" w:oddVBand="0" w:evenVBand="0" w:oddHBand="0" w:evenHBand="0" w:firstRowFirstColumn="0" w:firstRowLastColumn="0" w:lastRowFirstColumn="0" w:lastRowLastColumn="0"/>
            </w:pPr>
          </w:p>
        </w:tc>
      </w:tr>
      <w:tr w:rsidR="000145FC" w:rsidRPr="0071264A" w14:paraId="4D0FE5B1" w14:textId="77777777" w:rsidTr="00B44676">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357C2D96" w14:textId="77777777" w:rsidR="000145FC" w:rsidRPr="0071264A" w:rsidRDefault="000145FC" w:rsidP="00A66D5D">
            <w:pPr>
              <w:rPr>
                <w:b w:val="0"/>
              </w:rPr>
            </w:pPr>
          </w:p>
        </w:tc>
        <w:tc>
          <w:tcPr>
            <w:tcW w:w="1772" w:type="pct"/>
            <w:tcBorders>
              <w:left w:val="single" w:sz="18" w:space="0" w:color="auto"/>
            </w:tcBorders>
          </w:tcPr>
          <w:p w14:paraId="77ED949A" w14:textId="75EBA36B" w:rsidR="000145FC" w:rsidRPr="00B44676" w:rsidRDefault="000145FC" w:rsidP="00A66D5D">
            <w:pPr>
              <w:jc w:val="left"/>
              <w:cnfStyle w:val="000000100000" w:firstRow="0" w:lastRow="0" w:firstColumn="0" w:lastColumn="0" w:oddVBand="0" w:evenVBand="0" w:oddHBand="1" w:evenHBand="0" w:firstRowFirstColumn="0" w:firstRowLastColumn="0" w:lastRowFirstColumn="0" w:lastRowLastColumn="0"/>
            </w:pPr>
            <w:r w:rsidRPr="000145FC">
              <w:t xml:space="preserve">Indikované prínosy pri poskytovaní </w:t>
            </w:r>
            <w:proofErr w:type="spellStart"/>
            <w:r w:rsidRPr="000145FC">
              <w:t>cloudových</w:t>
            </w:r>
            <w:proofErr w:type="spellEnd"/>
            <w:r w:rsidRPr="000145FC">
              <w:t xml:space="preserve"> služieb</w:t>
            </w:r>
          </w:p>
        </w:tc>
        <w:tc>
          <w:tcPr>
            <w:tcW w:w="2869" w:type="pct"/>
            <w:tcBorders>
              <w:right w:val="single" w:sz="4" w:space="0" w:color="auto"/>
            </w:tcBorders>
          </w:tcPr>
          <w:p w14:paraId="706AD23A" w14:textId="33BD6FB9" w:rsidR="000145FC" w:rsidRDefault="000145FC" w:rsidP="00A66D5D">
            <w:pPr>
              <w:cnfStyle w:val="000000100000" w:firstRow="0" w:lastRow="0" w:firstColumn="0" w:lastColumn="0" w:oddVBand="0" w:evenVBand="0" w:oddHBand="1" w:evenHBand="0" w:firstRowFirstColumn="0" w:firstRowLastColumn="0" w:lastRowFirstColumn="0" w:lastRowLastColumn="0"/>
            </w:pPr>
            <w:r w:rsidRPr="000145FC">
              <w:t>Súčin celkového počtu poskytovaných služieb a ich indikatívneho poplatku.</w:t>
            </w:r>
          </w:p>
        </w:tc>
      </w:tr>
      <w:tr w:rsidR="00A66D5D" w:rsidRPr="0071264A" w14:paraId="60D99FA6" w14:textId="77777777" w:rsidTr="00B44676">
        <w:trPr>
          <w:trHeight w:val="411"/>
        </w:trPr>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4ADB79BA" w14:textId="793407E6" w:rsidR="00A66D5D" w:rsidRDefault="00A66D5D" w:rsidP="00A66D5D">
            <w:pPr>
              <w:jc w:val="left"/>
              <w:rPr>
                <w:color w:val="5B9BD5" w:themeColor="accent1"/>
              </w:rPr>
            </w:pPr>
            <w:r>
              <w:rPr>
                <w:color w:val="5B9BD5" w:themeColor="accent1"/>
              </w:rPr>
              <w:t>Finančné prínosy</w:t>
            </w:r>
          </w:p>
        </w:tc>
      </w:tr>
      <w:tr w:rsidR="00A66D5D" w:rsidRPr="0071264A" w14:paraId="22B6D6B2"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7CE7D4C" w14:textId="77777777" w:rsidR="00A66D5D" w:rsidRPr="0071264A" w:rsidRDefault="00A66D5D" w:rsidP="00A66D5D">
            <w:pPr>
              <w:rPr>
                <w:b w:val="0"/>
              </w:rPr>
            </w:pPr>
          </w:p>
        </w:tc>
        <w:tc>
          <w:tcPr>
            <w:tcW w:w="1772" w:type="pct"/>
            <w:tcBorders>
              <w:left w:val="single" w:sz="18" w:space="0" w:color="auto"/>
            </w:tcBorders>
          </w:tcPr>
          <w:p w14:paraId="67A985DA" w14:textId="0FA4E91D" w:rsidR="00A66D5D" w:rsidRPr="00FC1065" w:rsidRDefault="00A66D5D" w:rsidP="00A66D5D">
            <w:pPr>
              <w:jc w:val="left"/>
              <w:cnfStyle w:val="000000100000" w:firstRow="0" w:lastRow="0" w:firstColumn="0" w:lastColumn="0" w:oddVBand="0" w:evenVBand="0" w:oddHBand="1" w:evenHBand="0" w:firstRowFirstColumn="0" w:firstRowLastColumn="0" w:lastRowFirstColumn="0" w:lastRowLastColumn="0"/>
              <w:rPr>
                <w:color w:val="auto"/>
              </w:rPr>
            </w:pPr>
          </w:p>
        </w:tc>
        <w:tc>
          <w:tcPr>
            <w:tcW w:w="2869" w:type="pct"/>
            <w:tcBorders>
              <w:right w:val="single" w:sz="4" w:space="0" w:color="auto"/>
            </w:tcBorders>
          </w:tcPr>
          <w:p w14:paraId="179AA4F4" w14:textId="0E0AB8F1" w:rsidR="00A66D5D" w:rsidRPr="00751B66" w:rsidRDefault="00A66D5D" w:rsidP="00A66D5D">
            <w:pPr>
              <w:cnfStyle w:val="000000100000" w:firstRow="0" w:lastRow="0" w:firstColumn="0" w:lastColumn="0" w:oddVBand="0" w:evenVBand="0" w:oddHBand="1" w:evenHBand="0" w:firstRowFirstColumn="0" w:firstRowLastColumn="0" w:lastRowFirstColumn="0" w:lastRowLastColumn="0"/>
              <w:rPr>
                <w:i/>
              </w:rPr>
            </w:pPr>
          </w:p>
        </w:tc>
      </w:tr>
    </w:tbl>
    <w:p w14:paraId="48D4EF28" w14:textId="4ED1784E" w:rsidR="00850E69" w:rsidRDefault="00850E69" w:rsidP="00B44676"/>
    <w:p w14:paraId="381C5E1E" w14:textId="77777777" w:rsidR="000145FC" w:rsidRDefault="000145FC" w:rsidP="00B44676">
      <w:pPr>
        <w:sectPr w:rsidR="000145FC" w:rsidSect="00B44676">
          <w:pgSz w:w="16838" w:h="11906" w:orient="landscape"/>
          <w:pgMar w:top="1417" w:right="1417" w:bottom="1417" w:left="1417" w:header="708" w:footer="708" w:gutter="0"/>
          <w:cols w:space="708"/>
          <w:docGrid w:linePitch="360"/>
        </w:sectPr>
      </w:pPr>
    </w:p>
    <w:p w14:paraId="43E3F84A" w14:textId="53932D5C" w:rsidR="00A536EA" w:rsidRDefault="00A536EA" w:rsidP="00E530D1">
      <w:pPr>
        <w:pStyle w:val="Nadpis1"/>
      </w:pPr>
      <w:bookmarkStart w:id="34" w:name="_Toc422390681"/>
      <w:r>
        <w:t>Metodický pokyn k vypracovaniu TCO</w:t>
      </w:r>
      <w:bookmarkEnd w:id="34"/>
      <w:r w:rsidR="00152941">
        <w:t xml:space="preserve"> </w:t>
      </w:r>
    </w:p>
    <w:p w14:paraId="503FF30B" w14:textId="4AFE8C4E" w:rsidR="00152941" w:rsidRDefault="0086360F" w:rsidP="00152941">
      <w:pPr>
        <w:rPr>
          <w:lang w:val="en-US"/>
        </w:rPr>
      </w:pPr>
      <w:r>
        <w:rPr>
          <w:lang w:val="en-US"/>
        </w:rPr>
        <w:t xml:space="preserve">         </w:t>
      </w:r>
      <w:bookmarkStart w:id="35" w:name="_GoBack"/>
      <w:bookmarkEnd w:id="35"/>
      <w:r w:rsidR="00152941">
        <w:rPr>
          <w:lang w:val="en-US"/>
        </w:rPr>
        <w:t>(Celkov</w:t>
      </w:r>
      <w:r w:rsidR="00152941">
        <w:t>é náklady na vlastníctvo</w:t>
      </w:r>
      <w:r w:rsidR="00152941">
        <w:rPr>
          <w:lang w:val="en-US"/>
        </w:rPr>
        <w:t>)</w:t>
      </w:r>
    </w:p>
    <w:p w14:paraId="3B662D9D" w14:textId="77777777" w:rsidR="00152941" w:rsidRDefault="00152941" w:rsidP="00152941">
      <w:pPr>
        <w:rPr>
          <w:lang w:val="en-US"/>
        </w:rPr>
      </w:pPr>
    </w:p>
    <w:p w14:paraId="009C54A2" w14:textId="77777777" w:rsidR="00152941" w:rsidRPr="00152941" w:rsidRDefault="00152941" w:rsidP="00152941">
      <w:pPr>
        <w:pStyle w:val="Nadpis2"/>
      </w:pPr>
      <w:bookmarkStart w:id="36" w:name="_Toc421692357"/>
      <w:bookmarkStart w:id="37" w:name="_Toc422390682"/>
      <w:r w:rsidRPr="00152941">
        <w:t>Definície pojmov</w:t>
      </w:r>
      <w:bookmarkEnd w:id="36"/>
      <w:bookmarkEnd w:id="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95"/>
      </w:tblGrid>
      <w:tr w:rsidR="00152941" w:rsidRPr="00325FD7" w14:paraId="5BCB4D86" w14:textId="77777777" w:rsidTr="009828F0">
        <w:tc>
          <w:tcPr>
            <w:tcW w:w="1418" w:type="dxa"/>
            <w:shd w:val="clear" w:color="auto" w:fill="D9D9D9"/>
          </w:tcPr>
          <w:p w14:paraId="086773EA" w14:textId="77777777" w:rsidR="00152941" w:rsidRPr="00325FD7" w:rsidRDefault="00152941" w:rsidP="009828F0">
            <w:pPr>
              <w:spacing w:before="40" w:after="40"/>
              <w:rPr>
                <w:rFonts w:eastAsia="Arial Unicode MS"/>
                <w:b/>
                <w:sz w:val="18"/>
                <w:szCs w:val="18"/>
                <w:lang w:eastAsia="ja-JP"/>
              </w:rPr>
            </w:pPr>
            <w:r w:rsidRPr="00325FD7">
              <w:rPr>
                <w:rFonts w:eastAsia="Arial Unicode MS"/>
                <w:b/>
                <w:sz w:val="18"/>
                <w:szCs w:val="18"/>
                <w:lang w:eastAsia="ja-JP"/>
              </w:rPr>
              <w:t>Pojem</w:t>
            </w:r>
            <w:r>
              <w:rPr>
                <w:rFonts w:eastAsia="Arial Unicode MS"/>
                <w:b/>
                <w:sz w:val="18"/>
                <w:szCs w:val="18"/>
                <w:lang w:eastAsia="ja-JP"/>
              </w:rPr>
              <w:t>/skratka</w:t>
            </w:r>
          </w:p>
        </w:tc>
        <w:tc>
          <w:tcPr>
            <w:tcW w:w="7195" w:type="dxa"/>
            <w:shd w:val="clear" w:color="auto" w:fill="D9D9D9"/>
          </w:tcPr>
          <w:p w14:paraId="03D6A02B" w14:textId="77777777" w:rsidR="00152941" w:rsidRPr="00325FD7" w:rsidRDefault="00152941" w:rsidP="009828F0">
            <w:pPr>
              <w:spacing w:before="40" w:after="40"/>
              <w:rPr>
                <w:rFonts w:eastAsia="Arial Unicode MS"/>
                <w:b/>
                <w:sz w:val="18"/>
                <w:szCs w:val="18"/>
                <w:lang w:eastAsia="ja-JP"/>
              </w:rPr>
            </w:pPr>
            <w:r w:rsidRPr="00325FD7">
              <w:rPr>
                <w:rFonts w:eastAsia="Arial Unicode MS"/>
                <w:b/>
                <w:sz w:val="18"/>
                <w:szCs w:val="18"/>
                <w:lang w:eastAsia="ja-JP"/>
              </w:rPr>
              <w:t>Definícia</w:t>
            </w:r>
          </w:p>
        </w:tc>
      </w:tr>
      <w:tr w:rsidR="00152941" w:rsidRPr="00325FD7" w14:paraId="41C6CBD6" w14:textId="77777777" w:rsidTr="009828F0">
        <w:tc>
          <w:tcPr>
            <w:tcW w:w="1418" w:type="dxa"/>
          </w:tcPr>
          <w:p w14:paraId="216A0335"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TCO</w:t>
            </w:r>
          </w:p>
        </w:tc>
        <w:tc>
          <w:tcPr>
            <w:tcW w:w="7195" w:type="dxa"/>
          </w:tcPr>
          <w:p w14:paraId="7B09CB3D" w14:textId="77777777" w:rsidR="00152941" w:rsidRPr="00325FD7" w:rsidRDefault="00152941" w:rsidP="009828F0">
            <w:pPr>
              <w:spacing w:before="40" w:after="40"/>
              <w:rPr>
                <w:rFonts w:eastAsia="Arial Unicode MS"/>
                <w:sz w:val="18"/>
                <w:szCs w:val="18"/>
                <w:lang w:eastAsia="ja-JP"/>
              </w:rPr>
            </w:pPr>
            <w:proofErr w:type="spellStart"/>
            <w:r w:rsidRPr="00325FD7">
              <w:rPr>
                <w:rFonts w:eastAsia="Arial Unicode MS"/>
                <w:sz w:val="18"/>
                <w:szCs w:val="18"/>
                <w:lang w:eastAsia="ja-JP"/>
              </w:rPr>
              <w:t>Total</w:t>
            </w:r>
            <w:proofErr w:type="spellEnd"/>
            <w:r w:rsidRPr="00325FD7">
              <w:rPr>
                <w:rFonts w:eastAsia="Arial Unicode MS"/>
                <w:sz w:val="18"/>
                <w:szCs w:val="18"/>
                <w:lang w:eastAsia="ja-JP"/>
              </w:rPr>
              <w:t xml:space="preserve"> </w:t>
            </w:r>
            <w:proofErr w:type="spellStart"/>
            <w:r w:rsidRPr="00325FD7">
              <w:rPr>
                <w:rFonts w:eastAsia="Arial Unicode MS"/>
                <w:sz w:val="18"/>
                <w:szCs w:val="18"/>
                <w:lang w:eastAsia="ja-JP"/>
              </w:rPr>
              <w:t>cost</w:t>
            </w:r>
            <w:proofErr w:type="spellEnd"/>
            <w:r w:rsidRPr="00325FD7">
              <w:rPr>
                <w:rFonts w:eastAsia="Arial Unicode MS"/>
                <w:sz w:val="18"/>
                <w:szCs w:val="18"/>
                <w:lang w:eastAsia="ja-JP"/>
              </w:rPr>
              <w:t xml:space="preserve"> </w:t>
            </w:r>
            <w:proofErr w:type="spellStart"/>
            <w:r w:rsidRPr="00325FD7">
              <w:rPr>
                <w:rFonts w:eastAsia="Arial Unicode MS"/>
                <w:sz w:val="18"/>
                <w:szCs w:val="18"/>
                <w:lang w:eastAsia="ja-JP"/>
              </w:rPr>
              <w:t>of</w:t>
            </w:r>
            <w:proofErr w:type="spellEnd"/>
            <w:r w:rsidRPr="00325FD7">
              <w:rPr>
                <w:rFonts w:eastAsia="Arial Unicode MS"/>
                <w:sz w:val="18"/>
                <w:szCs w:val="18"/>
                <w:lang w:eastAsia="ja-JP"/>
              </w:rPr>
              <w:t xml:space="preserve"> </w:t>
            </w:r>
            <w:proofErr w:type="spellStart"/>
            <w:r w:rsidRPr="00325FD7">
              <w:rPr>
                <w:rFonts w:eastAsia="Arial Unicode MS"/>
                <w:sz w:val="18"/>
                <w:szCs w:val="18"/>
                <w:lang w:eastAsia="ja-JP"/>
              </w:rPr>
              <w:t>ownership</w:t>
            </w:r>
            <w:proofErr w:type="spellEnd"/>
            <w:r w:rsidRPr="00325FD7">
              <w:rPr>
                <w:rFonts w:eastAsia="Arial Unicode MS"/>
                <w:sz w:val="18"/>
                <w:szCs w:val="18"/>
                <w:lang w:eastAsia="ja-JP"/>
              </w:rPr>
              <w:t>, celkové náklady na vlastníctvo</w:t>
            </w:r>
          </w:p>
        </w:tc>
      </w:tr>
      <w:tr w:rsidR="00152941" w:rsidRPr="00325FD7" w14:paraId="25035EA5" w14:textId="77777777" w:rsidTr="009828F0">
        <w:tc>
          <w:tcPr>
            <w:tcW w:w="1418" w:type="dxa"/>
          </w:tcPr>
          <w:p w14:paraId="0286A125"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CBA</w:t>
            </w:r>
          </w:p>
        </w:tc>
        <w:tc>
          <w:tcPr>
            <w:tcW w:w="7195" w:type="dxa"/>
          </w:tcPr>
          <w:p w14:paraId="01E0B81A" w14:textId="77777777" w:rsidR="00152941" w:rsidRPr="00325FD7" w:rsidRDefault="00152941" w:rsidP="009828F0">
            <w:pPr>
              <w:spacing w:before="40" w:after="40"/>
              <w:rPr>
                <w:rFonts w:eastAsia="Arial Unicode MS"/>
                <w:sz w:val="18"/>
                <w:szCs w:val="18"/>
                <w:lang w:eastAsia="ja-JP"/>
              </w:rPr>
            </w:pPr>
            <w:proofErr w:type="spellStart"/>
            <w:r w:rsidRPr="00325FD7">
              <w:rPr>
                <w:rFonts w:eastAsia="Arial Unicode MS"/>
                <w:sz w:val="18"/>
                <w:szCs w:val="18"/>
                <w:lang w:eastAsia="ja-JP"/>
              </w:rPr>
              <w:t>Cost-benefit</w:t>
            </w:r>
            <w:proofErr w:type="spellEnd"/>
            <w:r w:rsidRPr="00325FD7">
              <w:rPr>
                <w:rFonts w:eastAsia="Arial Unicode MS"/>
                <w:sz w:val="18"/>
                <w:szCs w:val="18"/>
                <w:lang w:eastAsia="ja-JP"/>
              </w:rPr>
              <w:t xml:space="preserve"> </w:t>
            </w:r>
            <w:proofErr w:type="spellStart"/>
            <w:r w:rsidRPr="00325FD7">
              <w:rPr>
                <w:rFonts w:eastAsia="Arial Unicode MS"/>
                <w:sz w:val="18"/>
                <w:szCs w:val="18"/>
                <w:lang w:eastAsia="ja-JP"/>
              </w:rPr>
              <w:t>analysis</w:t>
            </w:r>
            <w:proofErr w:type="spellEnd"/>
            <w:r w:rsidRPr="00325FD7">
              <w:rPr>
                <w:rFonts w:eastAsia="Arial Unicode MS"/>
                <w:sz w:val="18"/>
                <w:szCs w:val="18"/>
                <w:lang w:eastAsia="ja-JP"/>
              </w:rPr>
              <w:t xml:space="preserve"> - analýza nákladov a prínosov</w:t>
            </w:r>
          </w:p>
        </w:tc>
      </w:tr>
      <w:tr w:rsidR="00152941" w:rsidRPr="00325FD7" w14:paraId="74CA6A92" w14:textId="77777777" w:rsidTr="009828F0">
        <w:tc>
          <w:tcPr>
            <w:tcW w:w="1418" w:type="dxa"/>
          </w:tcPr>
          <w:p w14:paraId="0D5295F7"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Aplikačný modul</w:t>
            </w:r>
          </w:p>
        </w:tc>
        <w:tc>
          <w:tcPr>
            <w:tcW w:w="7195" w:type="dxa"/>
          </w:tcPr>
          <w:p w14:paraId="344FCF24"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ucelená funkčná časť</w:t>
            </w:r>
            <w:r>
              <w:rPr>
                <w:rFonts w:eastAsia="Arial Unicode MS"/>
                <w:sz w:val="18"/>
                <w:szCs w:val="18"/>
                <w:lang w:eastAsia="ja-JP"/>
              </w:rPr>
              <w:t xml:space="preserve">, </w:t>
            </w:r>
            <w:r w:rsidRPr="00325FD7">
              <w:rPr>
                <w:rFonts w:eastAsia="Arial Unicode MS"/>
                <w:sz w:val="18"/>
                <w:szCs w:val="18"/>
                <w:lang w:eastAsia="ja-JP"/>
              </w:rPr>
              <w:t>z ktorej sa skladá IS v rámci danej organizácie</w:t>
            </w:r>
          </w:p>
        </w:tc>
      </w:tr>
      <w:tr w:rsidR="00152941" w:rsidRPr="00325FD7" w14:paraId="6C9B5951" w14:textId="77777777" w:rsidTr="009828F0">
        <w:tc>
          <w:tcPr>
            <w:tcW w:w="1418" w:type="dxa"/>
          </w:tcPr>
          <w:p w14:paraId="146762B8"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SW produkt</w:t>
            </w:r>
          </w:p>
        </w:tc>
        <w:tc>
          <w:tcPr>
            <w:tcW w:w="7195" w:type="dxa"/>
          </w:tcPr>
          <w:p w14:paraId="5D42F419"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 xml:space="preserve">balíkový software potrebný pre funkčnosť </w:t>
            </w:r>
            <w:r>
              <w:rPr>
                <w:rFonts w:eastAsia="Arial Unicode MS"/>
                <w:sz w:val="18"/>
                <w:szCs w:val="18"/>
                <w:lang w:eastAsia="ja-JP"/>
              </w:rPr>
              <w:t>Aplikačného modulu</w:t>
            </w:r>
          </w:p>
        </w:tc>
      </w:tr>
      <w:tr w:rsidR="00152941" w:rsidRPr="00325FD7" w14:paraId="654F68ED" w14:textId="77777777" w:rsidTr="009828F0">
        <w:tc>
          <w:tcPr>
            <w:tcW w:w="1418" w:type="dxa"/>
          </w:tcPr>
          <w:p w14:paraId="1EBE6A65"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Aplikácia</w:t>
            </w:r>
          </w:p>
        </w:tc>
        <w:tc>
          <w:tcPr>
            <w:tcW w:w="7195" w:type="dxa"/>
          </w:tcPr>
          <w:p w14:paraId="0A0462D0"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riešenie vytvárané na mieru</w:t>
            </w:r>
          </w:p>
        </w:tc>
      </w:tr>
      <w:tr w:rsidR="00152941" w:rsidRPr="00325FD7" w14:paraId="5D710D33" w14:textId="77777777" w:rsidTr="009828F0">
        <w:tc>
          <w:tcPr>
            <w:tcW w:w="1418" w:type="dxa"/>
          </w:tcPr>
          <w:p w14:paraId="3279421C"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HW</w:t>
            </w:r>
          </w:p>
        </w:tc>
        <w:tc>
          <w:tcPr>
            <w:tcW w:w="7195" w:type="dxa"/>
          </w:tcPr>
          <w:p w14:paraId="70EA093B"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hardware</w:t>
            </w:r>
          </w:p>
        </w:tc>
      </w:tr>
      <w:tr w:rsidR="00152941" w:rsidRPr="00325FD7" w14:paraId="0CF902E8" w14:textId="77777777" w:rsidTr="009828F0">
        <w:tc>
          <w:tcPr>
            <w:tcW w:w="1418" w:type="dxa"/>
          </w:tcPr>
          <w:p w14:paraId="5514459A"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IS</w:t>
            </w:r>
          </w:p>
        </w:tc>
        <w:tc>
          <w:tcPr>
            <w:tcW w:w="7195" w:type="dxa"/>
          </w:tcPr>
          <w:p w14:paraId="05BF0A41"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informačný systém</w:t>
            </w:r>
          </w:p>
        </w:tc>
      </w:tr>
      <w:tr w:rsidR="00152941" w:rsidRPr="00325FD7" w14:paraId="3585E741" w14:textId="77777777" w:rsidTr="009828F0">
        <w:tc>
          <w:tcPr>
            <w:tcW w:w="1418" w:type="dxa"/>
          </w:tcPr>
          <w:p w14:paraId="47F146F6"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OPII</w:t>
            </w:r>
          </w:p>
        </w:tc>
        <w:tc>
          <w:tcPr>
            <w:tcW w:w="7195" w:type="dxa"/>
          </w:tcPr>
          <w:p w14:paraId="0E3C2C8D"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Operačný program Integrovaná infraštruktúra 2014 - 2020</w:t>
            </w:r>
          </w:p>
        </w:tc>
      </w:tr>
    </w:tbl>
    <w:p w14:paraId="6D056DC5" w14:textId="77777777" w:rsidR="00152941" w:rsidRPr="00325FD7" w:rsidRDefault="00152941" w:rsidP="00152941">
      <w:pPr>
        <w:pStyle w:val="Popis"/>
        <w:spacing w:before="120" w:after="240"/>
        <w:jc w:val="both"/>
      </w:pPr>
      <w:r w:rsidRPr="00325FD7">
        <w:t xml:space="preserve">Tabuľka </w:t>
      </w:r>
      <w:r w:rsidRPr="00325FD7">
        <w:fldChar w:fldCharType="begin"/>
      </w:r>
      <w:r w:rsidRPr="00325FD7">
        <w:instrText xml:space="preserve"> SEQ Table \* ARABIC </w:instrText>
      </w:r>
      <w:r w:rsidRPr="00325FD7">
        <w:fldChar w:fldCharType="separate"/>
      </w:r>
      <w:r>
        <w:rPr>
          <w:noProof/>
        </w:rPr>
        <w:t>1</w:t>
      </w:r>
      <w:r w:rsidRPr="00325FD7">
        <w:fldChar w:fldCharType="end"/>
      </w:r>
      <w:r w:rsidRPr="00325FD7">
        <w:t>: Zoznam skratiek a pojmov.</w:t>
      </w:r>
    </w:p>
    <w:p w14:paraId="04511183" w14:textId="77777777" w:rsidR="00152941" w:rsidRPr="00152941" w:rsidRDefault="00152941" w:rsidP="00152941">
      <w:pPr>
        <w:pStyle w:val="Nadpis2"/>
      </w:pPr>
      <w:bookmarkStart w:id="38" w:name="_Toc390862078"/>
      <w:bookmarkStart w:id="39" w:name="_Toc421692358"/>
      <w:bookmarkStart w:id="40" w:name="_Toc422390683"/>
      <w:r w:rsidRPr="00152941">
        <w:t>Analýza celkových nákladov na vlastníctvo</w:t>
      </w:r>
      <w:bookmarkEnd w:id="38"/>
      <w:bookmarkEnd w:id="39"/>
      <w:bookmarkEnd w:id="40"/>
    </w:p>
    <w:p w14:paraId="35197448" w14:textId="77777777" w:rsidR="00152941" w:rsidRPr="00325FD7" w:rsidRDefault="00152941" w:rsidP="00152941">
      <w:pPr>
        <w:pStyle w:val="Zkladntext"/>
        <w:spacing w:line="276" w:lineRule="auto"/>
        <w:rPr>
          <w:lang w:bidi="en-US"/>
        </w:rPr>
      </w:pPr>
      <w:r w:rsidRPr="00325FD7">
        <w:rPr>
          <w:lang w:bidi="en-US"/>
        </w:rPr>
        <w:t xml:space="preserve">Celkové náklady na vlastníctvo (ďalej len „TCO“ z anglického </w:t>
      </w:r>
      <w:proofErr w:type="spellStart"/>
      <w:r w:rsidRPr="00325FD7">
        <w:rPr>
          <w:lang w:bidi="en-US"/>
        </w:rPr>
        <w:t>Total</w:t>
      </w:r>
      <w:proofErr w:type="spellEnd"/>
      <w:r w:rsidRPr="00325FD7">
        <w:rPr>
          <w:lang w:bidi="en-US"/>
        </w:rPr>
        <w:t xml:space="preserve"> </w:t>
      </w:r>
      <w:proofErr w:type="spellStart"/>
      <w:r w:rsidRPr="00325FD7">
        <w:rPr>
          <w:lang w:bidi="en-US"/>
        </w:rPr>
        <w:t>cost</w:t>
      </w:r>
      <w:proofErr w:type="spellEnd"/>
      <w:r w:rsidRPr="00325FD7">
        <w:rPr>
          <w:lang w:bidi="en-US"/>
        </w:rPr>
        <w:t xml:space="preserve"> </w:t>
      </w:r>
      <w:proofErr w:type="spellStart"/>
      <w:r w:rsidRPr="00325FD7">
        <w:rPr>
          <w:lang w:bidi="en-US"/>
        </w:rPr>
        <w:t>of</w:t>
      </w:r>
      <w:proofErr w:type="spellEnd"/>
      <w:r w:rsidRPr="00325FD7">
        <w:rPr>
          <w:lang w:bidi="en-US"/>
        </w:rPr>
        <w:t xml:space="preserve"> </w:t>
      </w:r>
      <w:proofErr w:type="spellStart"/>
      <w:r w:rsidRPr="00325FD7">
        <w:rPr>
          <w:lang w:bidi="en-US"/>
        </w:rPr>
        <w:t>ownership</w:t>
      </w:r>
      <w:proofErr w:type="spellEnd"/>
      <w:r w:rsidRPr="00325FD7">
        <w:rPr>
          <w:lang w:bidi="en-US"/>
        </w:rPr>
        <w:t xml:space="preserve">) predstavujú jeden z hodnotiacich a analytických nástrojov, ktorého výsledkom je určenie hodnoty nákladov na obstaranie riešenia a nákladov súvisiacich s jeho využívaním počas definovaného obdobia. </w:t>
      </w:r>
    </w:p>
    <w:p w14:paraId="2C8EAFA5" w14:textId="77777777" w:rsidR="00152941" w:rsidRDefault="00152941" w:rsidP="00152941">
      <w:pPr>
        <w:pStyle w:val="Zkladntext"/>
        <w:spacing w:before="0" w:after="0" w:line="276" w:lineRule="auto"/>
        <w:rPr>
          <w:lang w:bidi="en-US"/>
        </w:rPr>
      </w:pPr>
      <w:r w:rsidRPr="00325FD7">
        <w:rPr>
          <w:lang w:bidi="en-US"/>
        </w:rPr>
        <w:t xml:space="preserve">Na rozdiel od rozpočtu projektu, ktorý vychádza z nákladov na vytvorenie riešenia v členení podľa jednotlivých aktivít a analýzy nákladov a prínosov (ďalej len „CBA“), ktorá skúma návratnosť projektu, je TCO zamerané na celkové náklady na „vlastnenie“, tzn. získanie a prevádzkovanie riešenia, pričom v týchto nákladoch sú okrem nákladov na samotné obstaranie riešenia zahrnuté tiež náklady na administráciu, údržbu a opravy, školenia, inovácie a pod. </w:t>
      </w:r>
    </w:p>
    <w:p w14:paraId="78F51D56" w14:textId="77777777" w:rsidR="00152941" w:rsidRPr="00325FD7" w:rsidRDefault="00152941" w:rsidP="00152941">
      <w:pPr>
        <w:pStyle w:val="Zkladntext"/>
        <w:spacing w:before="0" w:after="0" w:line="276" w:lineRule="auto"/>
        <w:rPr>
          <w:lang w:bidi="en-US"/>
        </w:rPr>
      </w:pPr>
    </w:p>
    <w:p w14:paraId="6E73689F" w14:textId="77777777" w:rsidR="00152941" w:rsidRPr="00325FD7" w:rsidRDefault="00152941" w:rsidP="00152941">
      <w:pPr>
        <w:pStyle w:val="Zkladntext"/>
        <w:spacing w:before="0" w:after="0" w:line="276" w:lineRule="auto"/>
        <w:rPr>
          <w:lang w:bidi="en-US"/>
        </w:rPr>
      </w:pPr>
      <w:r w:rsidRPr="00325FD7">
        <w:rPr>
          <w:lang w:bidi="en-US"/>
        </w:rPr>
        <w:t xml:space="preserve">Analýza TCO teda zahŕňa všetky náklady, ktoré vzniknú v priebehu celej životnosti prevádzkovaného riešenia. </w:t>
      </w:r>
    </w:p>
    <w:p w14:paraId="5C8189AE" w14:textId="77777777" w:rsidR="00152941" w:rsidRPr="00325FD7" w:rsidRDefault="00152941" w:rsidP="00152941">
      <w:pPr>
        <w:spacing w:before="130" w:after="130"/>
      </w:pPr>
      <w:r w:rsidRPr="00325FD7">
        <w:t xml:space="preserve">Každý prijímateľ </w:t>
      </w:r>
      <w:r>
        <w:t xml:space="preserve">OPII prioritnej osi </w:t>
      </w:r>
      <w:r w:rsidRPr="00336A61">
        <w:rPr>
          <w:rFonts w:cs="Arial"/>
          <w:szCs w:val="22"/>
        </w:rPr>
        <w:t>7 Informačná</w:t>
      </w:r>
      <w:r w:rsidRPr="00336A61">
        <w:rPr>
          <w:rFonts w:eastAsia="Calibri" w:cs="Arial"/>
          <w:szCs w:val="22"/>
        </w:rPr>
        <w:t xml:space="preserve"> spoločnosť</w:t>
      </w:r>
      <w:r w:rsidRPr="00325FD7">
        <w:t xml:space="preserve"> je povinný vypracovať a predkladať poskytovateľovi pomoci TCO ako povinnú prílohu Štúdie uskutočniteľnosti a</w:t>
      </w:r>
      <w:r>
        <w:t> </w:t>
      </w:r>
      <w:r w:rsidRPr="00325FD7">
        <w:t>takisto</w:t>
      </w:r>
      <w:r>
        <w:t xml:space="preserve"> </w:t>
      </w:r>
      <w:r w:rsidRPr="00325FD7">
        <w:t>aktualizovanú verziu vo fáze ukončenia realizácie aktivít projektu.</w:t>
      </w:r>
    </w:p>
    <w:p w14:paraId="708BC408" w14:textId="77777777" w:rsidR="00152941" w:rsidRDefault="00152941" w:rsidP="00152941">
      <w:pPr>
        <w:pStyle w:val="Zkladntext"/>
        <w:spacing w:line="276" w:lineRule="auto"/>
      </w:pPr>
      <w:r w:rsidRPr="00325FD7">
        <w:t>Prínosom TCO vo fáze ukončovania projektov budú údaje, prostredníctvom ktorých bude možné overiť adekvátnosť nákladov vynaložených na realizáciu projektu ako aj získanie prehľadu o plánovaných prevádzkových nákladoch v nasledujúcich rokoch</w:t>
      </w:r>
      <w:r>
        <w:t xml:space="preserve">, čo </w:t>
      </w:r>
      <w:r w:rsidRPr="00325FD7">
        <w:t xml:space="preserve">umožní vytvárať prehľad o nákladoch na </w:t>
      </w:r>
      <w:r w:rsidRPr="006C22AD">
        <w:t>komponenty,</w:t>
      </w:r>
      <w:r w:rsidRPr="00325FD7">
        <w:t xml:space="preserve"> ktoré by sa mohli prevádzkovať spoločne v budúcnosti. </w:t>
      </w:r>
      <w:r>
        <w:t xml:space="preserve"> </w:t>
      </w:r>
    </w:p>
    <w:p w14:paraId="3CEC4F5B" w14:textId="77777777" w:rsidR="00152941" w:rsidRDefault="00152941" w:rsidP="00152941">
      <w:pPr>
        <w:spacing w:before="130" w:after="130"/>
      </w:pPr>
      <w:r>
        <w:t xml:space="preserve">TCO je súčasťou </w:t>
      </w:r>
      <w:r w:rsidRPr="00A20D7D">
        <w:t xml:space="preserve">Prílohy pre výpočet TCO a čistej súčasnej hodnoty z projektu – pre </w:t>
      </w:r>
      <w:r>
        <w:t>p</w:t>
      </w:r>
      <w:r w:rsidRPr="00A20D7D">
        <w:t>rojekty zamerané na služby agendových informačných systémov</w:t>
      </w:r>
      <w:r>
        <w:t xml:space="preserve">, </w:t>
      </w:r>
      <w:r w:rsidRPr="00A20D7D">
        <w:t xml:space="preserve">pre projekty zamerané na </w:t>
      </w:r>
      <w:proofErr w:type="spellStart"/>
      <w:r w:rsidRPr="00A20D7D">
        <w:t>cloudové</w:t>
      </w:r>
      <w:proofErr w:type="spellEnd"/>
      <w:r w:rsidRPr="00A20D7D">
        <w:t xml:space="preserve"> služby a p</w:t>
      </w:r>
      <w:r>
        <w:t>re projekty zamerané na živo</w:t>
      </w:r>
      <w:r w:rsidRPr="00A20D7D">
        <w:t>tné situácie</w:t>
      </w:r>
      <w:r>
        <w:t xml:space="preserve">.  </w:t>
      </w:r>
    </w:p>
    <w:p w14:paraId="50AD37FD" w14:textId="77777777" w:rsidR="00152941" w:rsidRDefault="00152941" w:rsidP="00152941">
      <w:pPr>
        <w:spacing w:before="130" w:after="130"/>
      </w:pPr>
    </w:p>
    <w:p w14:paraId="2049CE43" w14:textId="77777777" w:rsidR="00152941" w:rsidRPr="00152941" w:rsidRDefault="00152941" w:rsidP="00152941">
      <w:pPr>
        <w:pStyle w:val="Nadpis2"/>
      </w:pPr>
      <w:bookmarkStart w:id="41" w:name="_Toc390862080"/>
      <w:bookmarkStart w:id="42" w:name="_Toc421692359"/>
      <w:bookmarkStart w:id="43" w:name="_Toc422390684"/>
      <w:r w:rsidRPr="00152941">
        <w:t>Postup analýzy</w:t>
      </w:r>
      <w:bookmarkEnd w:id="41"/>
      <w:bookmarkEnd w:id="42"/>
      <w:bookmarkEnd w:id="43"/>
    </w:p>
    <w:p w14:paraId="4A7AA2A7" w14:textId="77777777" w:rsidR="00152941" w:rsidRDefault="00152941" w:rsidP="00152941">
      <w:pPr>
        <w:pStyle w:val="Zkladntext"/>
        <w:spacing w:line="276" w:lineRule="auto"/>
      </w:pPr>
      <w:r w:rsidRPr="00325FD7">
        <w:t xml:space="preserve">Pri výpočte celkových nákladov na vlastníctvo prijímateľ vychádza z členenia daného riešenia (informačného systému) </w:t>
      </w:r>
      <w:r w:rsidRPr="00325FD7">
        <w:rPr>
          <w:b/>
        </w:rPr>
        <w:t xml:space="preserve">na jednotlivé </w:t>
      </w:r>
      <w:r>
        <w:rPr>
          <w:b/>
        </w:rPr>
        <w:t>Aplikačné moduly</w:t>
      </w:r>
      <w:r w:rsidRPr="00325FD7">
        <w:rPr>
          <w:b/>
        </w:rPr>
        <w:t xml:space="preserve"> ako ucelené funkčné časti</w:t>
      </w:r>
      <w:r w:rsidRPr="00325FD7">
        <w:t>, z ktorých sa skladá riešenie IS v rámci danej organizácie</w:t>
      </w:r>
      <w:r>
        <w:t>. V</w:t>
      </w:r>
      <w:r w:rsidRPr="00325FD7">
        <w:t xml:space="preserve">šetky náklady spojené s vytvorením a prevádzkou </w:t>
      </w:r>
      <w:r>
        <w:t>IS</w:t>
      </w:r>
      <w:r w:rsidRPr="00325FD7">
        <w:t xml:space="preserve"> sú rozdelené na SW produkt (balíkový SW)</w:t>
      </w:r>
      <w:r>
        <w:t xml:space="preserve">, </w:t>
      </w:r>
      <w:r w:rsidRPr="00325FD7">
        <w:t xml:space="preserve">jeho Aplikáciu (riešenie vytvárané na mieru funkčnosť </w:t>
      </w:r>
      <w:r>
        <w:t>modulu</w:t>
      </w:r>
      <w:r w:rsidRPr="00325FD7">
        <w:t xml:space="preserve">) </w:t>
      </w:r>
      <w:r w:rsidRPr="00727861">
        <w:t>a  HW</w:t>
      </w:r>
      <w:r w:rsidRPr="00325FD7">
        <w:t xml:space="preserve"> (vrátane systémového SW</w:t>
      </w:r>
      <w:r>
        <w:rPr>
          <w:lang w:val="en-US"/>
        </w:rPr>
        <w:t>)</w:t>
      </w:r>
      <w:r w:rsidRPr="00325FD7">
        <w:t xml:space="preserve"> </w:t>
      </w:r>
      <w:r>
        <w:t>.</w:t>
      </w:r>
      <w:r w:rsidRPr="00325FD7">
        <w:t xml:space="preserve"> </w:t>
      </w:r>
    </w:p>
    <w:p w14:paraId="5DBEB0FD" w14:textId="77777777" w:rsidR="00152941" w:rsidRDefault="00152941" w:rsidP="00152941">
      <w:pPr>
        <w:pStyle w:val="Zkladntext"/>
        <w:spacing w:line="276" w:lineRule="auto"/>
      </w:pPr>
      <w:r w:rsidRPr="00325FD7">
        <w:t>Štandardná šablóna obsahuje preddefinované položky, ktoré je potrebné kvantifikovať podľa jednotlivých rokov.</w:t>
      </w:r>
      <w:r>
        <w:t xml:space="preserve"> Prijímateľ vypĺňa záložky TCO – SW a TCO – HW, pričom t1 predstavuje rok začatia realizácie projektu. Túto hodnotu je potrebné doplniť v záložke Faktory. Sumár obstarania SW produktov, Aplikácie a HW predstavuje sumár hlavných aktivít projektu OPII.</w:t>
      </w:r>
    </w:p>
    <w:p w14:paraId="7798CF52" w14:textId="77777777" w:rsidR="00152941" w:rsidRPr="00D415D6" w:rsidRDefault="00152941" w:rsidP="00152941">
      <w:pPr>
        <w:pStyle w:val="Zkladntext"/>
        <w:spacing w:line="276" w:lineRule="auto"/>
        <w:rPr>
          <w:i/>
        </w:rPr>
      </w:pPr>
      <w:r>
        <w:t>Stĺpce Účet/skupina výdavkov a Kód EKO klasifikácie vychádzajú z </w:t>
      </w:r>
      <w:r w:rsidRPr="001F582D">
        <w:rPr>
          <w:i/>
        </w:rPr>
        <w:t>Príručky oprávnenosti výdavkov</w:t>
      </w:r>
      <w:r>
        <w:rPr>
          <w:i/>
        </w:rPr>
        <w:t xml:space="preserve"> Prioritnej osi 7 Informačná spoločnosť OPII </w:t>
      </w:r>
      <w:r>
        <w:t>a </w:t>
      </w:r>
      <w:r w:rsidRPr="00D415D6">
        <w:rPr>
          <w:i/>
        </w:rPr>
        <w:t>Opatrenia Ministerstva financií Opatrenia Ministerstva financií Slovenskej republiky z 8.decembra 2004 č. MF/010175/2004-42, ktorým sa ustanovuje druhová klasifikácia, organizačná klasifikácia a ekonomická klasifikácia rozpočtovej klasifikácie v platnom znení a Metodického usmernenia Ministerstva financií Slovenskej republiky k č. MF/010175/2004-42 zo dňa 8. decembra 2004 a vysvetlivky k ekonomickej klasifikácii rozpočtovej klasifikácie v platnom znení.</w:t>
      </w:r>
      <w:r w:rsidRPr="00D415D6">
        <w:rPr>
          <w:i/>
        </w:rPr>
        <w:tab/>
      </w:r>
    </w:p>
    <w:p w14:paraId="3C566ED5" w14:textId="77777777" w:rsidR="00152941" w:rsidRPr="001C52FF" w:rsidRDefault="00152941" w:rsidP="00152941">
      <w:pPr>
        <w:pStyle w:val="Zkladntext"/>
        <w:spacing w:line="276" w:lineRule="auto"/>
      </w:pPr>
      <w:r w:rsidRPr="00325FD7">
        <w:t xml:space="preserve">Rozčlenenie riešenia na jednotlivé </w:t>
      </w:r>
      <w:r>
        <w:t>Aplikačné moduly</w:t>
      </w:r>
      <w:r w:rsidRPr="00325FD7">
        <w:t xml:space="preserve"> je v kompetencii prijímateľa, a to v nadväznosti na charakter riešenia.</w:t>
      </w:r>
      <w:r>
        <w:t xml:space="preserve"> V záložke TCO - SW je preddefinovaný Aplikačný modul 1, 2, N. Prijímateľ ich premenuje podľa reálnych názvov modulov IS a podľa potreby pridá ďalší stĺpec. Takisto postupuje aj v prípade HW položiek. Preddefinované sú HW položka 1, 2, N, podľa potreby prijímateľ rozšíri ich počet pridaním stĺpca v záložke TCO – HW. </w:t>
      </w:r>
      <w:r w:rsidRPr="001C52FF">
        <w:t>SO nebude akceptovať vykazovanie riešenia (informačného systému) ako jedného modulu.</w:t>
      </w:r>
    </w:p>
    <w:p w14:paraId="5AE6A689" w14:textId="77777777" w:rsidR="00152941" w:rsidRDefault="00152941" w:rsidP="00152941">
      <w:pPr>
        <w:pStyle w:val="Zkladntext"/>
        <w:spacing w:line="276" w:lineRule="auto"/>
      </w:pPr>
      <w:r>
        <w:t>Záložky TCO – SW a TCO – HW sú prepojené vzorcami na záložku TCO, kde už nie je nutné dopĺňať údaje týkajúce sa novovytvoreného riešenia. Zároveň je sumárna TCO prepojená na analýzu CBA.</w:t>
      </w:r>
    </w:p>
    <w:p w14:paraId="5D8FC8B5" w14:textId="77777777" w:rsidR="00152941" w:rsidRDefault="00152941" w:rsidP="00152941">
      <w:pPr>
        <w:pStyle w:val="Zkladntext"/>
        <w:spacing w:line="276" w:lineRule="auto"/>
      </w:pPr>
      <w:r>
        <w:t xml:space="preserve">V nadväznosti na udržateľnosť projektu je prijímateľ povinný vyčísliť obdobie prevádzky riešenia v trvaní minimálne 5 rokov. </w:t>
      </w:r>
    </w:p>
    <w:p w14:paraId="7013BA04" w14:textId="77777777" w:rsidR="00152941" w:rsidRDefault="00152941" w:rsidP="00152941">
      <w:pPr>
        <w:pStyle w:val="Zkladntext"/>
        <w:spacing w:line="276" w:lineRule="auto"/>
      </w:pPr>
    </w:p>
    <w:p w14:paraId="3FD42BBB" w14:textId="77777777" w:rsidR="00152941" w:rsidRPr="00152941" w:rsidRDefault="00152941" w:rsidP="00152941">
      <w:pPr>
        <w:pStyle w:val="Nadpis2"/>
      </w:pPr>
      <w:bookmarkStart w:id="44" w:name="_Toc390862081"/>
      <w:bookmarkStart w:id="45" w:name="_Toc421692360"/>
      <w:bookmarkStart w:id="46" w:name="_Toc422390685"/>
      <w:r w:rsidRPr="00152941">
        <w:t>Náklady na obstaranie a prevádzku SW</w:t>
      </w:r>
      <w:bookmarkEnd w:id="45"/>
      <w:bookmarkEnd w:id="46"/>
      <w:r w:rsidRPr="00152941">
        <w:t xml:space="preserve"> </w:t>
      </w:r>
      <w:bookmarkEnd w:id="44"/>
    </w:p>
    <w:p w14:paraId="499E7D93" w14:textId="77777777" w:rsidR="00152941" w:rsidRPr="00F30812" w:rsidRDefault="00152941" w:rsidP="00152941">
      <w:pPr>
        <w:pStyle w:val="Zkladntext"/>
        <w:spacing w:line="276" w:lineRule="auto"/>
      </w:pPr>
      <w:r>
        <w:t>P</w:t>
      </w:r>
      <w:r w:rsidRPr="00325FD7">
        <w:t xml:space="preserve">rijímateľ </w:t>
      </w:r>
      <w:r>
        <w:t>vyčísli</w:t>
      </w:r>
      <w:r w:rsidRPr="00325FD7">
        <w:t xml:space="preserve"> náklady na obstaranie a prevádzku jednotlivých </w:t>
      </w:r>
      <w:r>
        <w:t>Aplikačných modulov.</w:t>
      </w:r>
      <w:r w:rsidRPr="00325FD7">
        <w:t xml:space="preserve"> </w:t>
      </w:r>
      <w:r>
        <w:t>Každý z modulov</w:t>
      </w:r>
      <w:r w:rsidRPr="00325FD7">
        <w:t xml:space="preserve"> prijímateľ pomenuje a údaje v členení na jednotlivé kategórie </w:t>
      </w:r>
      <w:r>
        <w:t xml:space="preserve">a roky </w:t>
      </w:r>
      <w:r w:rsidRPr="00325FD7">
        <w:t>vyp</w:t>
      </w:r>
      <w:r>
        <w:t>ĺ</w:t>
      </w:r>
      <w:r w:rsidRPr="00325FD7">
        <w:t>ňa vždy do samostatn</w:t>
      </w:r>
      <w:r>
        <w:t>ého stĺpca</w:t>
      </w:r>
      <w:r w:rsidRPr="00325FD7">
        <w:t xml:space="preserve">. </w:t>
      </w:r>
      <w:r>
        <w:t>Aplikačný modul v</w:t>
      </w:r>
      <w:r w:rsidRPr="00325FD7">
        <w:t xml:space="preserve"> tomto prípade pozostáva zo SW produktu (balíkový SW potrebný pre funkčnosť </w:t>
      </w:r>
      <w:r>
        <w:t>modul</w:t>
      </w:r>
      <w:r w:rsidRPr="00325FD7">
        <w:t>u) a jeho Aplikácie (riešenie vytvárané na mieru</w:t>
      </w:r>
      <w:r>
        <w:rPr>
          <w:lang w:val="en-US"/>
        </w:rPr>
        <w:t xml:space="preserve">). </w:t>
      </w:r>
      <w:r w:rsidRPr="00325FD7">
        <w:t>Celkové náklady na obstaranie a prevádzku sú ďalej rozdelené do dvoch časti: „Vytvorenie riešenia</w:t>
      </w:r>
      <w:r>
        <w:t xml:space="preserve"> - obstaranie</w:t>
      </w:r>
      <w:r w:rsidRPr="00325FD7">
        <w:t>“ a</w:t>
      </w:r>
      <w:r>
        <w:t xml:space="preserve"> </w:t>
      </w:r>
      <w:r w:rsidRPr="00325FD7">
        <w:t xml:space="preserve">„Prevádzka vytvoreného riešenia“. </w:t>
      </w:r>
      <w:r w:rsidRPr="00F30812">
        <w:t>Za dobu obstarania (vytvárania riešenia) sa považuje obdobie až do kompletného ukončenia celého riešenia.</w:t>
      </w:r>
    </w:p>
    <w:p w14:paraId="604445AB" w14:textId="77777777" w:rsidR="00152941" w:rsidRPr="00325FD7" w:rsidRDefault="00152941" w:rsidP="00152941">
      <w:pPr>
        <w:pStyle w:val="Zkladntext"/>
        <w:spacing w:line="276" w:lineRule="auto"/>
      </w:pPr>
      <w:r w:rsidRPr="00325FD7">
        <w:t xml:space="preserve">Z hľadiska prevádzkových nákladov </w:t>
      </w:r>
      <w:r w:rsidRPr="00775C0C">
        <w:t>je</w:t>
      </w:r>
      <w:r>
        <w:t xml:space="preserve"> dôležité</w:t>
      </w:r>
      <w:r w:rsidRPr="00775C0C">
        <w:t xml:space="preserve">, aby prijímateľ venoval ich </w:t>
      </w:r>
      <w:r>
        <w:t>vyčísleniu zvýšenú pozornosť</w:t>
      </w:r>
      <w:r w:rsidRPr="00325FD7">
        <w:t>. Je nevyhnutné, aby zanalyzoval všetky prevádzkové náklady, teda aj také, ktoré sa na riešenie vzťahujú len pomernou č</w:t>
      </w:r>
      <w:r>
        <w:t>asťou</w:t>
      </w:r>
      <w:r w:rsidRPr="00325FD7">
        <w:t>.</w:t>
      </w:r>
    </w:p>
    <w:p w14:paraId="3631A616" w14:textId="77777777" w:rsidR="00152941"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325FD7">
        <w:rPr>
          <w:rFonts w:ascii="Arial Narrow" w:hAnsi="Arial Narrow"/>
          <w:sz w:val="22"/>
          <w:szCs w:val="20"/>
          <w:lang w:eastAsia="en-US"/>
        </w:rPr>
        <w:t>Súčasťou prevádzkových nákladov sú aj náklady na zmeny riešenia (</w:t>
      </w:r>
      <w:proofErr w:type="spellStart"/>
      <w:r w:rsidRPr="00325FD7">
        <w:rPr>
          <w:rFonts w:ascii="Arial Narrow" w:hAnsi="Arial Narrow"/>
          <w:sz w:val="22"/>
          <w:szCs w:val="20"/>
          <w:lang w:eastAsia="en-US"/>
        </w:rPr>
        <w:t>Upgrade</w:t>
      </w:r>
      <w:proofErr w:type="spellEnd"/>
      <w:r w:rsidRPr="00325FD7">
        <w:rPr>
          <w:rFonts w:ascii="Arial Narrow" w:hAnsi="Arial Narrow"/>
          <w:sz w:val="22"/>
          <w:szCs w:val="20"/>
          <w:lang w:eastAsia="en-US"/>
        </w:rPr>
        <w:t xml:space="preserve"> SW produktu, resp. rozvoj – doplnenie funkcionality aplikácie). Prijímateľ je pri vyčíslení takýchto nákladov povinný vziať do úvahy všetky typy zmien (napr. náp</w:t>
      </w:r>
      <w:r w:rsidRPr="00325FD7">
        <w:rPr>
          <w:rFonts w:ascii="Arial Narrow" w:hAnsi="Arial Narrow"/>
          <w:sz w:val="22"/>
          <w:szCs w:val="20"/>
          <w:lang w:eastAsia="en-US"/>
        </w:rPr>
        <w:softHyphen/>
        <w:t>ra</w:t>
      </w:r>
      <w:r w:rsidRPr="00325FD7">
        <w:rPr>
          <w:rFonts w:ascii="Arial Narrow" w:hAnsi="Arial Narrow"/>
          <w:sz w:val="22"/>
          <w:szCs w:val="20"/>
          <w:lang w:eastAsia="en-US"/>
        </w:rPr>
        <w:softHyphen/>
        <w:t>vy chýb v ap</w:t>
      </w:r>
      <w:r w:rsidRPr="00325FD7">
        <w:rPr>
          <w:rFonts w:ascii="Arial Narrow" w:hAnsi="Arial Narrow"/>
          <w:sz w:val="22"/>
          <w:szCs w:val="20"/>
          <w:lang w:eastAsia="en-US"/>
        </w:rPr>
        <w:softHyphen/>
        <w:t>li</w:t>
      </w:r>
      <w:r w:rsidRPr="00325FD7">
        <w:rPr>
          <w:rFonts w:ascii="Arial Narrow" w:hAnsi="Arial Narrow"/>
          <w:sz w:val="22"/>
          <w:szCs w:val="20"/>
          <w:lang w:eastAsia="en-US"/>
        </w:rPr>
        <w:softHyphen/>
        <w:t>ká</w:t>
      </w:r>
      <w:r w:rsidRPr="00325FD7">
        <w:rPr>
          <w:rFonts w:ascii="Arial Narrow" w:hAnsi="Arial Narrow"/>
          <w:sz w:val="22"/>
          <w:szCs w:val="20"/>
          <w:lang w:eastAsia="en-US"/>
        </w:rPr>
        <w:softHyphen/>
        <w:t>cii, pre</w:t>
      </w:r>
      <w:r w:rsidRPr="00325FD7">
        <w:rPr>
          <w:rFonts w:ascii="Arial Narrow" w:hAnsi="Arial Narrow"/>
          <w:sz w:val="22"/>
          <w:szCs w:val="20"/>
          <w:lang w:eastAsia="en-US"/>
        </w:rPr>
        <w:softHyphen/>
        <w:t>ven</w:t>
      </w:r>
      <w:r w:rsidRPr="00325FD7">
        <w:rPr>
          <w:rFonts w:ascii="Arial Narrow" w:hAnsi="Arial Narrow"/>
          <w:sz w:val="22"/>
          <w:szCs w:val="20"/>
          <w:lang w:eastAsia="en-US"/>
        </w:rPr>
        <w:softHyphen/>
        <w:t>cia chýb, rozvoj a ino</w:t>
      </w:r>
      <w:r w:rsidRPr="00325FD7">
        <w:rPr>
          <w:rFonts w:ascii="Arial Narrow" w:hAnsi="Arial Narrow"/>
          <w:sz w:val="22"/>
          <w:szCs w:val="20"/>
          <w:lang w:eastAsia="en-US"/>
        </w:rPr>
        <w:softHyphen/>
        <w:t>vá</w:t>
      </w:r>
      <w:r w:rsidRPr="00325FD7">
        <w:rPr>
          <w:rFonts w:ascii="Arial Narrow" w:hAnsi="Arial Narrow"/>
          <w:sz w:val="22"/>
          <w:szCs w:val="20"/>
          <w:lang w:eastAsia="en-US"/>
        </w:rPr>
        <w:softHyphen/>
        <w:t>cie a </w:t>
      </w:r>
      <w:r>
        <w:rPr>
          <w:rFonts w:ascii="Arial Narrow" w:hAnsi="Arial Narrow"/>
          <w:sz w:val="22"/>
          <w:szCs w:val="20"/>
          <w:lang w:eastAsia="en-US"/>
        </w:rPr>
        <w:t>pod</w:t>
      </w:r>
      <w:r w:rsidRPr="00325FD7">
        <w:rPr>
          <w:rFonts w:ascii="Arial Narrow" w:hAnsi="Arial Narrow"/>
          <w:sz w:val="22"/>
          <w:szCs w:val="20"/>
          <w:lang w:eastAsia="en-US"/>
        </w:rPr>
        <w:t>).</w:t>
      </w:r>
    </w:p>
    <w:p w14:paraId="29BD623A" w14:textId="77777777" w:rsidR="00152941" w:rsidRPr="001C0CCC"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1C0CCC">
        <w:rPr>
          <w:rFonts w:ascii="Arial Narrow" w:hAnsi="Arial Narrow"/>
          <w:sz w:val="22"/>
          <w:szCs w:val="20"/>
          <w:lang w:eastAsia="en-US"/>
        </w:rPr>
        <w:t xml:space="preserve">Kód EKO klasifikácie predstavuje </w:t>
      </w:r>
      <w:r>
        <w:rPr>
          <w:rFonts w:ascii="Arial Narrow" w:hAnsi="Arial Narrow"/>
          <w:sz w:val="22"/>
          <w:szCs w:val="20"/>
          <w:lang w:eastAsia="en-US"/>
        </w:rPr>
        <w:t>pod</w:t>
      </w:r>
      <w:r w:rsidRPr="001C0CCC">
        <w:rPr>
          <w:rFonts w:ascii="Arial Narrow" w:hAnsi="Arial Narrow"/>
          <w:sz w:val="22"/>
          <w:szCs w:val="20"/>
          <w:lang w:eastAsia="en-US"/>
        </w:rPr>
        <w:t xml:space="preserve">položku ekonomickej klasifikácie rozpočtovej klasifikácie, ktorá je definovaná v </w:t>
      </w:r>
      <w:r w:rsidRPr="00F30812">
        <w:rPr>
          <w:rFonts w:ascii="Arial Narrow" w:hAnsi="Arial Narrow"/>
          <w:sz w:val="22"/>
          <w:szCs w:val="20"/>
          <w:lang w:eastAsia="en-US"/>
        </w:rPr>
        <w:t>Metodick</w:t>
      </w:r>
      <w:r w:rsidRPr="001C0CCC">
        <w:rPr>
          <w:rFonts w:ascii="Arial Narrow" w:hAnsi="Arial Narrow"/>
          <w:sz w:val="22"/>
          <w:szCs w:val="20"/>
          <w:lang w:eastAsia="en-US"/>
        </w:rPr>
        <w:t>om</w:t>
      </w:r>
      <w:r w:rsidRPr="00F30812">
        <w:rPr>
          <w:rFonts w:ascii="Arial Narrow" w:hAnsi="Arial Narrow"/>
          <w:sz w:val="22"/>
          <w:szCs w:val="20"/>
          <w:lang w:eastAsia="en-US"/>
        </w:rPr>
        <w:t xml:space="preserve"> usmernen</w:t>
      </w:r>
      <w:r w:rsidRPr="001C0CCC">
        <w:rPr>
          <w:rFonts w:ascii="Arial Narrow" w:hAnsi="Arial Narrow"/>
          <w:sz w:val="22"/>
          <w:szCs w:val="20"/>
          <w:lang w:eastAsia="en-US"/>
        </w:rPr>
        <w:t>í</w:t>
      </w:r>
      <w:r w:rsidRPr="00F30812">
        <w:rPr>
          <w:rFonts w:ascii="Arial Narrow" w:hAnsi="Arial Narrow"/>
          <w:sz w:val="22"/>
          <w:szCs w:val="20"/>
          <w:lang w:eastAsia="en-US"/>
        </w:rPr>
        <w:t xml:space="preserve"> Ministerstva financií Slovenskej republiky k</w:t>
      </w:r>
      <w:r>
        <w:rPr>
          <w:rFonts w:ascii="Arial Narrow" w:hAnsi="Arial Narrow"/>
          <w:sz w:val="22"/>
          <w:szCs w:val="20"/>
          <w:lang w:eastAsia="en-US"/>
        </w:rPr>
        <w:t xml:space="preserve"> Opatreniu </w:t>
      </w:r>
      <w:r w:rsidRPr="00F30812">
        <w:rPr>
          <w:rFonts w:ascii="Arial Narrow" w:hAnsi="Arial Narrow"/>
          <w:sz w:val="22"/>
          <w:szCs w:val="20"/>
          <w:lang w:eastAsia="en-US"/>
        </w:rPr>
        <w:t xml:space="preserve">č. MF/010175/2004-42 zo dňa 8. decembra 2004 </w:t>
      </w:r>
      <w:r w:rsidRPr="001C0CCC">
        <w:rPr>
          <w:rFonts w:ascii="Arial Narrow" w:hAnsi="Arial Narrow"/>
          <w:sz w:val="22"/>
          <w:szCs w:val="20"/>
          <w:lang w:eastAsia="en-US"/>
        </w:rPr>
        <w:t>v platnom znení. V prípade SW a Aplikácie je určujúce rozdelenie výdavkov na bežné</w:t>
      </w:r>
      <w:r>
        <w:rPr>
          <w:rFonts w:ascii="Arial Narrow" w:hAnsi="Arial Narrow"/>
          <w:sz w:val="22"/>
          <w:szCs w:val="20"/>
          <w:lang w:eastAsia="en-US"/>
        </w:rPr>
        <w:t xml:space="preserve"> </w:t>
      </w:r>
      <w:r>
        <w:rPr>
          <w:rFonts w:ascii="Arial Narrow" w:hAnsi="Arial Narrow"/>
          <w:sz w:val="22"/>
          <w:szCs w:val="20"/>
          <w:lang w:val="en-US" w:eastAsia="en-US"/>
        </w:rPr>
        <w:t xml:space="preserve">(63xxxx) </w:t>
      </w:r>
      <w:r w:rsidRPr="001C0CCC">
        <w:rPr>
          <w:rFonts w:ascii="Arial Narrow" w:hAnsi="Arial Narrow"/>
          <w:sz w:val="22"/>
          <w:szCs w:val="20"/>
          <w:lang w:eastAsia="en-US"/>
        </w:rPr>
        <w:t>a</w:t>
      </w:r>
      <w:r>
        <w:rPr>
          <w:rFonts w:ascii="Arial Narrow" w:hAnsi="Arial Narrow"/>
          <w:sz w:val="22"/>
          <w:szCs w:val="20"/>
          <w:lang w:eastAsia="en-US"/>
        </w:rPr>
        <w:t> </w:t>
      </w:r>
      <w:r w:rsidRPr="001C0CCC">
        <w:rPr>
          <w:rFonts w:ascii="Arial Narrow" w:hAnsi="Arial Narrow"/>
          <w:sz w:val="22"/>
          <w:szCs w:val="20"/>
          <w:lang w:eastAsia="en-US"/>
        </w:rPr>
        <w:t>kapitálové</w:t>
      </w:r>
      <w:r>
        <w:rPr>
          <w:rFonts w:ascii="Arial Narrow" w:hAnsi="Arial Narrow"/>
          <w:sz w:val="22"/>
          <w:szCs w:val="20"/>
          <w:lang w:eastAsia="en-US"/>
        </w:rPr>
        <w:t xml:space="preserve"> (71xxxx)</w:t>
      </w:r>
      <w:r w:rsidRPr="001C0CCC">
        <w:rPr>
          <w:rFonts w:ascii="Arial Narrow" w:hAnsi="Arial Narrow"/>
          <w:sz w:val="22"/>
          <w:szCs w:val="20"/>
          <w:lang w:eastAsia="en-US"/>
        </w:rPr>
        <w:t>,</w:t>
      </w:r>
      <w:r>
        <w:rPr>
          <w:rFonts w:ascii="Arial Narrow" w:hAnsi="Arial Narrow"/>
          <w:sz w:val="22"/>
          <w:szCs w:val="20"/>
          <w:lang w:eastAsia="en-US"/>
        </w:rPr>
        <w:t xml:space="preserve"> </w:t>
      </w:r>
      <w:r w:rsidRPr="001C0CCC">
        <w:rPr>
          <w:rFonts w:ascii="Arial Narrow" w:hAnsi="Arial Narrow"/>
          <w:sz w:val="22"/>
          <w:szCs w:val="20"/>
          <w:lang w:eastAsia="en-US"/>
        </w:rPr>
        <w:t xml:space="preserve">pričom pri nehmotnom majetku zaraďujeme medzi </w:t>
      </w:r>
      <w:r>
        <w:rPr>
          <w:rFonts w:ascii="Arial Narrow" w:hAnsi="Arial Narrow"/>
          <w:sz w:val="22"/>
          <w:szCs w:val="20"/>
          <w:lang w:eastAsia="en-US"/>
        </w:rPr>
        <w:t>kapitálové</w:t>
      </w:r>
      <w:r w:rsidRPr="001C0CCC">
        <w:rPr>
          <w:rFonts w:ascii="Arial Narrow" w:hAnsi="Arial Narrow"/>
          <w:sz w:val="22"/>
          <w:szCs w:val="20"/>
          <w:lang w:eastAsia="en-US"/>
        </w:rPr>
        <w:t xml:space="preserve"> výdavky majetok, ktorého vstupná cena je vyššia ako 2 400 eur a prevádzkovo-technické funkcie alebo použiteľnosť dlhši</w:t>
      </w:r>
      <w:r>
        <w:rPr>
          <w:rFonts w:ascii="Arial Narrow" w:hAnsi="Arial Narrow"/>
          <w:sz w:val="22"/>
          <w:szCs w:val="20"/>
          <w:lang w:eastAsia="en-US"/>
        </w:rPr>
        <w:t>a</w:t>
      </w:r>
      <w:r w:rsidRPr="001C0CCC">
        <w:rPr>
          <w:rFonts w:ascii="Arial Narrow" w:hAnsi="Arial Narrow"/>
          <w:sz w:val="22"/>
          <w:szCs w:val="20"/>
          <w:lang w:eastAsia="en-US"/>
        </w:rPr>
        <w:t xml:space="preserve"> ako jeden rok.</w:t>
      </w:r>
    </w:p>
    <w:p w14:paraId="616E0271" w14:textId="77777777" w:rsidR="00152941" w:rsidRPr="00325FD7" w:rsidRDefault="00152941" w:rsidP="00152941">
      <w:pPr>
        <w:pStyle w:val="Zkladntext"/>
        <w:spacing w:line="276" w:lineRule="auto"/>
      </w:pPr>
      <w:r>
        <w:t>Výsledné údaje sa automaticky prepočítajú do súhrnnej tabuľky v záložke TCO.</w:t>
      </w:r>
    </w:p>
    <w:p w14:paraId="54608BCE" w14:textId="77777777" w:rsidR="00152941" w:rsidRPr="00325FD7" w:rsidRDefault="00152941" w:rsidP="00152941">
      <w:pPr>
        <w:pStyle w:val="Zkladntext"/>
        <w:spacing w:before="0" w:after="0" w:line="276" w:lineRule="auto"/>
      </w:pPr>
    </w:p>
    <w:p w14:paraId="16E0471D" w14:textId="77777777" w:rsidR="00152941" w:rsidRPr="00152941" w:rsidRDefault="00152941" w:rsidP="00152941">
      <w:pPr>
        <w:pStyle w:val="Nadpis2"/>
      </w:pPr>
      <w:bookmarkStart w:id="47" w:name="_Toc390862082"/>
      <w:bookmarkStart w:id="48" w:name="_Toc421692361"/>
      <w:bookmarkStart w:id="49" w:name="_Toc422390686"/>
      <w:r w:rsidRPr="00152941">
        <w:t>Náklady na obstaranie a prevádzku HW položky</w:t>
      </w:r>
      <w:bookmarkEnd w:id="47"/>
      <w:bookmarkEnd w:id="48"/>
      <w:bookmarkEnd w:id="49"/>
    </w:p>
    <w:p w14:paraId="3514DEE1" w14:textId="77777777" w:rsidR="00152941" w:rsidRDefault="00152941" w:rsidP="00152941">
      <w:pPr>
        <w:pStyle w:val="Zkladntext"/>
        <w:spacing w:line="276" w:lineRule="auto"/>
      </w:pPr>
      <w:r>
        <w:t>P</w:t>
      </w:r>
      <w:r w:rsidRPr="00325FD7">
        <w:t xml:space="preserve">rijímateľ vyčísli náklady na obstaranie a prevádzku  jednotlivých HW položiek daného riešenia, pričom celkové náklady HW položiek sú rovnako ako v predchádzajúcej časti rozdelené do dvoch časti: „Obstaranie“ a „Prevádzka riešenia“. </w:t>
      </w:r>
    </w:p>
    <w:p w14:paraId="7CB7322E" w14:textId="77777777" w:rsidR="00152941" w:rsidRPr="00325FD7" w:rsidRDefault="00152941" w:rsidP="00152941">
      <w:pPr>
        <w:pStyle w:val="Zkladntext"/>
        <w:spacing w:line="276" w:lineRule="auto"/>
      </w:pPr>
      <w:r>
        <w:t xml:space="preserve">Každú z HW položiek 1 – N </w:t>
      </w:r>
      <w:r w:rsidRPr="00325FD7">
        <w:t xml:space="preserve">prijímateľ pomenuje a údaje v členení na jednotlivé kategórie </w:t>
      </w:r>
      <w:r>
        <w:t xml:space="preserve">a roky </w:t>
      </w:r>
      <w:r w:rsidRPr="00325FD7">
        <w:t>vyp</w:t>
      </w:r>
      <w:r>
        <w:t>ĺ</w:t>
      </w:r>
      <w:r w:rsidRPr="00325FD7">
        <w:t>ňa vždy do samostatn</w:t>
      </w:r>
      <w:r>
        <w:t>ého stĺpca</w:t>
      </w:r>
      <w:r w:rsidRPr="00325FD7">
        <w:t xml:space="preserve">. </w:t>
      </w:r>
    </w:p>
    <w:p w14:paraId="1B0D03C0" w14:textId="77777777" w:rsidR="00152941" w:rsidRDefault="00152941" w:rsidP="00152941">
      <w:pPr>
        <w:pStyle w:val="Zkladntext"/>
        <w:spacing w:line="276" w:lineRule="auto"/>
      </w:pPr>
      <w:r w:rsidRPr="00325FD7">
        <w:t>V rokoch vytvárania riešenia sa uvádzajú celkové náklady spojené s príslušnou HW položkou (obstaranie a prípadné ďalšie náklady), pričom v nasledujúcich rokoch sa uvádzajú celkové náklady spojené s prevádzkou príslušnej HW položky.</w:t>
      </w:r>
      <w:r>
        <w:t xml:space="preserve"> Obdobne ako pri prevádzke SW </w:t>
      </w:r>
      <w:r w:rsidRPr="00325FD7">
        <w:t>je potrebné venovať zvýšenú pozornosť kvantifikácii nákladov na prevádzku jednotlivých HW položiek.</w:t>
      </w:r>
    </w:p>
    <w:p w14:paraId="5D55AC19" w14:textId="77777777" w:rsidR="00152941" w:rsidRPr="0071056A"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1C0CCC">
        <w:rPr>
          <w:rFonts w:ascii="Arial Narrow" w:hAnsi="Arial Narrow"/>
          <w:sz w:val="22"/>
          <w:szCs w:val="20"/>
          <w:lang w:eastAsia="en-US"/>
        </w:rPr>
        <w:t xml:space="preserve">Kód EKO klasifikácie predstavuje </w:t>
      </w:r>
      <w:r>
        <w:rPr>
          <w:rFonts w:ascii="Arial Narrow" w:hAnsi="Arial Narrow"/>
          <w:sz w:val="22"/>
          <w:szCs w:val="20"/>
          <w:lang w:eastAsia="en-US"/>
        </w:rPr>
        <w:t>pod</w:t>
      </w:r>
      <w:r w:rsidRPr="001C0CCC">
        <w:rPr>
          <w:rFonts w:ascii="Arial Narrow" w:hAnsi="Arial Narrow"/>
          <w:sz w:val="22"/>
          <w:szCs w:val="20"/>
          <w:lang w:eastAsia="en-US"/>
        </w:rPr>
        <w:t xml:space="preserve">položku ekonomickej klasifikácie rozpočtovej klasifikácie, ktorá je definovaná v </w:t>
      </w:r>
      <w:r w:rsidRPr="00F30812">
        <w:rPr>
          <w:rFonts w:ascii="Arial Narrow" w:hAnsi="Arial Narrow"/>
          <w:sz w:val="22"/>
          <w:szCs w:val="20"/>
          <w:lang w:eastAsia="en-US"/>
        </w:rPr>
        <w:t>Metodick</w:t>
      </w:r>
      <w:r w:rsidRPr="001C0CCC">
        <w:rPr>
          <w:rFonts w:ascii="Arial Narrow" w:hAnsi="Arial Narrow"/>
          <w:sz w:val="22"/>
          <w:szCs w:val="20"/>
          <w:lang w:eastAsia="en-US"/>
        </w:rPr>
        <w:t>om</w:t>
      </w:r>
      <w:r w:rsidRPr="00F30812">
        <w:rPr>
          <w:rFonts w:ascii="Arial Narrow" w:hAnsi="Arial Narrow"/>
          <w:sz w:val="22"/>
          <w:szCs w:val="20"/>
          <w:lang w:eastAsia="en-US"/>
        </w:rPr>
        <w:t xml:space="preserve"> usmernen</w:t>
      </w:r>
      <w:r w:rsidRPr="001C0CCC">
        <w:rPr>
          <w:rFonts w:ascii="Arial Narrow" w:hAnsi="Arial Narrow"/>
          <w:sz w:val="22"/>
          <w:szCs w:val="20"/>
          <w:lang w:eastAsia="en-US"/>
        </w:rPr>
        <w:t>í</w:t>
      </w:r>
      <w:r w:rsidRPr="00F30812">
        <w:rPr>
          <w:rFonts w:ascii="Arial Narrow" w:hAnsi="Arial Narrow"/>
          <w:sz w:val="22"/>
          <w:szCs w:val="20"/>
          <w:lang w:eastAsia="en-US"/>
        </w:rPr>
        <w:t xml:space="preserve"> Ministerstva financií Slovenskej republiky k</w:t>
      </w:r>
      <w:r>
        <w:rPr>
          <w:rFonts w:ascii="Arial Narrow" w:hAnsi="Arial Narrow"/>
          <w:sz w:val="22"/>
          <w:szCs w:val="20"/>
          <w:lang w:eastAsia="en-US"/>
        </w:rPr>
        <w:t xml:space="preserve"> Opatreniu </w:t>
      </w:r>
      <w:r w:rsidRPr="00F30812">
        <w:rPr>
          <w:rFonts w:ascii="Arial Narrow" w:hAnsi="Arial Narrow"/>
          <w:sz w:val="22"/>
          <w:szCs w:val="20"/>
          <w:lang w:eastAsia="en-US"/>
        </w:rPr>
        <w:t xml:space="preserve">č. MF/010175/2004-42 zo dňa 8. decembra 2004 </w:t>
      </w:r>
      <w:r w:rsidRPr="001C0CCC">
        <w:rPr>
          <w:rFonts w:ascii="Arial Narrow" w:hAnsi="Arial Narrow"/>
          <w:sz w:val="22"/>
          <w:szCs w:val="20"/>
          <w:lang w:eastAsia="en-US"/>
        </w:rPr>
        <w:t xml:space="preserve">v platnom znení. V prípade </w:t>
      </w:r>
      <w:r>
        <w:rPr>
          <w:rFonts w:ascii="Arial Narrow" w:hAnsi="Arial Narrow"/>
          <w:sz w:val="22"/>
          <w:szCs w:val="20"/>
          <w:lang w:eastAsia="en-US"/>
        </w:rPr>
        <w:t xml:space="preserve">HW </w:t>
      </w:r>
      <w:r w:rsidRPr="001C0CCC">
        <w:rPr>
          <w:rFonts w:ascii="Arial Narrow" w:hAnsi="Arial Narrow"/>
          <w:sz w:val="22"/>
          <w:szCs w:val="20"/>
          <w:lang w:eastAsia="en-US"/>
        </w:rPr>
        <w:t xml:space="preserve"> je určujúce rozdelenie výdavkov na bežné </w:t>
      </w:r>
      <w:r>
        <w:rPr>
          <w:rFonts w:ascii="Arial Narrow" w:hAnsi="Arial Narrow"/>
          <w:sz w:val="22"/>
          <w:szCs w:val="20"/>
          <w:lang w:val="en-US" w:eastAsia="en-US"/>
        </w:rPr>
        <w:t xml:space="preserve">(63xxxx) </w:t>
      </w:r>
      <w:r w:rsidRPr="001C0CCC">
        <w:rPr>
          <w:rFonts w:ascii="Arial Narrow" w:hAnsi="Arial Narrow"/>
          <w:sz w:val="22"/>
          <w:szCs w:val="20"/>
          <w:lang w:eastAsia="en-US"/>
        </w:rPr>
        <w:t>a</w:t>
      </w:r>
      <w:r>
        <w:rPr>
          <w:rFonts w:ascii="Arial Narrow" w:hAnsi="Arial Narrow"/>
          <w:sz w:val="22"/>
          <w:szCs w:val="20"/>
          <w:lang w:eastAsia="en-US"/>
        </w:rPr>
        <w:t> </w:t>
      </w:r>
      <w:r w:rsidRPr="001C0CCC">
        <w:rPr>
          <w:rFonts w:ascii="Arial Narrow" w:hAnsi="Arial Narrow"/>
          <w:sz w:val="22"/>
          <w:szCs w:val="20"/>
          <w:lang w:eastAsia="en-US"/>
        </w:rPr>
        <w:t>kapitálové</w:t>
      </w:r>
      <w:r>
        <w:rPr>
          <w:rFonts w:ascii="Arial Narrow" w:hAnsi="Arial Narrow"/>
          <w:sz w:val="22"/>
          <w:szCs w:val="20"/>
          <w:lang w:eastAsia="en-US"/>
        </w:rPr>
        <w:t xml:space="preserve"> (71xxxx)</w:t>
      </w:r>
      <w:r w:rsidRPr="001C0CCC">
        <w:rPr>
          <w:rFonts w:ascii="Arial Narrow" w:hAnsi="Arial Narrow"/>
          <w:sz w:val="22"/>
          <w:szCs w:val="20"/>
          <w:lang w:eastAsia="en-US"/>
        </w:rPr>
        <w:t xml:space="preserve">, pričom pri hmotnom majetku zaraďujeme medzi </w:t>
      </w:r>
      <w:r>
        <w:rPr>
          <w:rFonts w:ascii="Arial Narrow" w:hAnsi="Arial Narrow"/>
          <w:sz w:val="22"/>
          <w:szCs w:val="20"/>
          <w:lang w:eastAsia="en-US"/>
        </w:rPr>
        <w:t>kapitálové</w:t>
      </w:r>
      <w:r w:rsidRPr="001C0CCC">
        <w:rPr>
          <w:rFonts w:ascii="Arial Narrow" w:hAnsi="Arial Narrow"/>
          <w:sz w:val="22"/>
          <w:szCs w:val="20"/>
          <w:lang w:eastAsia="en-US"/>
        </w:rPr>
        <w:t xml:space="preserve"> výdavky majetok, ktorého vstupná cena je vyššia ako</w:t>
      </w:r>
      <w:r>
        <w:rPr>
          <w:rFonts w:ascii="Arial Narrow" w:hAnsi="Arial Narrow"/>
          <w:sz w:val="22"/>
          <w:szCs w:val="20"/>
          <w:lang w:eastAsia="en-US"/>
        </w:rPr>
        <w:t xml:space="preserve"> 1</w:t>
      </w:r>
      <w:r w:rsidRPr="001C0CCC">
        <w:rPr>
          <w:rFonts w:ascii="Arial Narrow" w:hAnsi="Arial Narrow"/>
          <w:sz w:val="22"/>
          <w:szCs w:val="20"/>
          <w:lang w:eastAsia="en-US"/>
        </w:rPr>
        <w:t> </w:t>
      </w:r>
      <w:r>
        <w:rPr>
          <w:rFonts w:ascii="Arial Narrow" w:hAnsi="Arial Narrow"/>
          <w:sz w:val="22"/>
          <w:szCs w:val="20"/>
          <w:lang w:eastAsia="en-US"/>
        </w:rPr>
        <w:t>7</w:t>
      </w:r>
      <w:r w:rsidRPr="001C0CCC">
        <w:rPr>
          <w:rFonts w:ascii="Arial Narrow" w:hAnsi="Arial Narrow"/>
          <w:sz w:val="22"/>
          <w:szCs w:val="20"/>
          <w:lang w:eastAsia="en-US"/>
        </w:rPr>
        <w:t xml:space="preserve">00 eur a prevádzkovo-technické funkcie </w:t>
      </w:r>
      <w:r>
        <w:rPr>
          <w:rFonts w:ascii="Arial Narrow" w:hAnsi="Arial Narrow"/>
          <w:sz w:val="22"/>
          <w:szCs w:val="20"/>
          <w:lang w:eastAsia="en-US"/>
        </w:rPr>
        <w:t xml:space="preserve">alebo použiteľnosť </w:t>
      </w:r>
      <w:r w:rsidRPr="001C0CCC">
        <w:rPr>
          <w:rFonts w:ascii="Arial Narrow" w:hAnsi="Arial Narrow"/>
          <w:sz w:val="22"/>
          <w:szCs w:val="20"/>
          <w:lang w:eastAsia="en-US"/>
        </w:rPr>
        <w:t>dlhši</w:t>
      </w:r>
      <w:r>
        <w:rPr>
          <w:rFonts w:ascii="Arial Narrow" w:hAnsi="Arial Narrow"/>
          <w:sz w:val="22"/>
          <w:szCs w:val="20"/>
          <w:lang w:eastAsia="en-US"/>
        </w:rPr>
        <w:t>a</w:t>
      </w:r>
      <w:r w:rsidRPr="001C0CCC">
        <w:rPr>
          <w:rFonts w:ascii="Arial Narrow" w:hAnsi="Arial Narrow"/>
          <w:sz w:val="22"/>
          <w:szCs w:val="20"/>
          <w:lang w:eastAsia="en-US"/>
        </w:rPr>
        <w:t xml:space="preserve"> ako jeden rok.</w:t>
      </w:r>
    </w:p>
    <w:p w14:paraId="3AB822A2" w14:textId="77777777" w:rsidR="00152941" w:rsidRPr="00325FD7" w:rsidRDefault="00152941" w:rsidP="00152941">
      <w:pPr>
        <w:pStyle w:val="Zkladntext"/>
        <w:spacing w:line="276" w:lineRule="auto"/>
      </w:pPr>
      <w:r>
        <w:t>Výsledné údaje sa automaticky prepočítajú do súhrnnej tabuľky v záložke TCO.</w:t>
      </w:r>
    </w:p>
    <w:p w14:paraId="45157BBD" w14:textId="77777777" w:rsidR="00152941" w:rsidRPr="007D2D26" w:rsidRDefault="00152941" w:rsidP="00152941">
      <w:pPr>
        <w:pStyle w:val="Zkladntext"/>
        <w:spacing w:before="0" w:after="0" w:line="276" w:lineRule="auto"/>
        <w:rPr>
          <w:b/>
        </w:rPr>
      </w:pPr>
      <w:r w:rsidRPr="007D2D26">
        <w:rPr>
          <w:b/>
        </w:rPr>
        <w:t xml:space="preserve">Pri projektoch, ktorých súčasťou nie je obstaranie HW, túto časť analýzy nevypĺňajú. HW je poskytovaný v rámci </w:t>
      </w:r>
      <w:proofErr w:type="spellStart"/>
      <w:r w:rsidRPr="007D2D26">
        <w:rPr>
          <w:b/>
        </w:rPr>
        <w:t>eGovernment</w:t>
      </w:r>
      <w:proofErr w:type="spellEnd"/>
      <w:r w:rsidRPr="007D2D26">
        <w:rPr>
          <w:b/>
        </w:rPr>
        <w:t xml:space="preserve"> </w:t>
      </w:r>
      <w:proofErr w:type="spellStart"/>
      <w:r w:rsidRPr="007D2D26">
        <w:rPr>
          <w:b/>
        </w:rPr>
        <w:t>cloudu</w:t>
      </w:r>
      <w:proofErr w:type="spellEnd"/>
      <w:r w:rsidRPr="007D2D26">
        <w:rPr>
          <w:b/>
        </w:rPr>
        <w:t>.</w:t>
      </w:r>
    </w:p>
    <w:p w14:paraId="6438E829" w14:textId="77777777" w:rsidR="00152941" w:rsidRPr="00325FD7" w:rsidRDefault="00152941" w:rsidP="00152941">
      <w:pPr>
        <w:pStyle w:val="Zkladntext"/>
        <w:spacing w:before="0" w:after="0" w:line="276" w:lineRule="auto"/>
      </w:pPr>
    </w:p>
    <w:p w14:paraId="762F5950" w14:textId="77777777" w:rsidR="00152941" w:rsidRPr="00325FD7" w:rsidRDefault="00152941" w:rsidP="00152941">
      <w:pPr>
        <w:pStyle w:val="Zkladntext"/>
        <w:spacing w:before="0" w:after="0" w:line="276" w:lineRule="auto"/>
      </w:pPr>
    </w:p>
    <w:p w14:paraId="11824BE6" w14:textId="77777777" w:rsidR="00152941" w:rsidRPr="00152941" w:rsidRDefault="00152941" w:rsidP="00152941">
      <w:pPr>
        <w:pStyle w:val="Nadpis2"/>
      </w:pPr>
      <w:bookmarkStart w:id="50" w:name="_Toc390862084"/>
      <w:bookmarkStart w:id="51" w:name="_Toc421692362"/>
      <w:bookmarkStart w:id="52" w:name="_Toc422390687"/>
      <w:r w:rsidRPr="00152941">
        <w:t>Náklady na existujúce (pôvodné) riešenie, ktoré bolo nahradené</w:t>
      </w:r>
      <w:bookmarkEnd w:id="50"/>
      <w:bookmarkEnd w:id="51"/>
      <w:bookmarkEnd w:id="52"/>
    </w:p>
    <w:p w14:paraId="4EA67784" w14:textId="77777777" w:rsidR="00152941" w:rsidRPr="00325FD7" w:rsidRDefault="00152941" w:rsidP="00152941">
      <w:pPr>
        <w:pStyle w:val="Zkladntext"/>
        <w:spacing w:line="276" w:lineRule="auto"/>
      </w:pPr>
      <w:r w:rsidRPr="00325FD7">
        <w:t>V tejto časti prijímateľ vyplní údaje, ktorých výsledkom je vyčíslenie nákladov na existujúce riešenie pred realizáciou projektu OPII, ktoré bolo nahradené prostredníctvom novovytvoreného riešenia. Do tabuľky sa postupne kvantifikujú jednotlivé typy nákladov podľa uvedených kategórii v členení na jednotlivé roky. Náklady na existujúce riešenie</w:t>
      </w:r>
      <w:r>
        <w:t xml:space="preserve"> predstavujú</w:t>
      </w:r>
      <w:r w:rsidRPr="00325FD7">
        <w:t xml:space="preserve"> v každom roku celkové náklady, ktoré budú ušetrené odstavením</w:t>
      </w:r>
      <w:r>
        <w:t xml:space="preserve"> </w:t>
      </w:r>
      <w:r w:rsidRPr="00325FD7">
        <w:t>/ obmedzením používania existujúceho riešenia. V prípade, ak pôvodné riešenie neexistovalo, do tabuľky prijímateľ uvedie 0.</w:t>
      </w:r>
    </w:p>
    <w:p w14:paraId="6343EF4C" w14:textId="77777777" w:rsidR="00152941" w:rsidRPr="00325FD7" w:rsidRDefault="00152941" w:rsidP="00152941">
      <w:pPr>
        <w:pStyle w:val="Zkladntext"/>
        <w:spacing w:before="0" w:after="0" w:line="276" w:lineRule="auto"/>
      </w:pPr>
    </w:p>
    <w:p w14:paraId="4040297A" w14:textId="77777777" w:rsidR="00152941" w:rsidRPr="00152941" w:rsidRDefault="00152941" w:rsidP="00152941">
      <w:pPr>
        <w:pStyle w:val="Nadpis2"/>
      </w:pPr>
      <w:bookmarkStart w:id="53" w:name="_Toc390862085"/>
      <w:bookmarkStart w:id="54" w:name="_Toc421692363"/>
      <w:bookmarkStart w:id="55" w:name="_Toc422390688"/>
      <w:r w:rsidRPr="00152941">
        <w:t>Celkové náklady na vlastníctvo (TCO)</w:t>
      </w:r>
      <w:bookmarkEnd w:id="53"/>
      <w:bookmarkEnd w:id="54"/>
      <w:bookmarkEnd w:id="55"/>
    </w:p>
    <w:p w14:paraId="7883F240" w14:textId="77777777" w:rsidR="00152941" w:rsidRPr="00325FD7" w:rsidRDefault="00152941" w:rsidP="00152941">
      <w:pPr>
        <w:pStyle w:val="Zkladntext"/>
        <w:spacing w:line="276" w:lineRule="auto"/>
      </w:pPr>
      <w:r>
        <w:t xml:space="preserve">Výsledkom predošlých častí je sumárna tabuľka </w:t>
      </w:r>
      <w:r w:rsidRPr="00325FD7">
        <w:t>„Celkov</w:t>
      </w:r>
      <w:r>
        <w:t>é</w:t>
      </w:r>
      <w:r w:rsidRPr="00325FD7">
        <w:t xml:space="preserve">  náklad</w:t>
      </w:r>
      <w:r>
        <w:t>y</w:t>
      </w:r>
      <w:r w:rsidRPr="00325FD7">
        <w:t xml:space="preserve"> na vlastníctvo“, k</w:t>
      </w:r>
      <w:r>
        <w:t>de je potrebné doplniť počet používateľov nového riešenia</w:t>
      </w:r>
      <w:r w:rsidRPr="00325FD7">
        <w:t xml:space="preserve">, </w:t>
      </w:r>
      <w:r>
        <w:t>ostatné údaje sú automaticky doplnené prostredníctvom vzorcov z predošlých tabuliek.</w:t>
      </w:r>
      <w:bookmarkStart w:id="56" w:name="_Toc382479243"/>
    </w:p>
    <w:bookmarkEnd w:id="56"/>
    <w:p w14:paraId="59F0A950" w14:textId="77777777" w:rsidR="00152941" w:rsidRPr="00152941" w:rsidRDefault="00152941" w:rsidP="00152941">
      <w:pPr>
        <w:rPr>
          <w:lang w:val="en-US"/>
        </w:rPr>
      </w:pPr>
    </w:p>
    <w:p w14:paraId="11EF56C7" w14:textId="33537140" w:rsidR="000145FC" w:rsidRDefault="000145FC" w:rsidP="00E530D1">
      <w:pPr>
        <w:pStyle w:val="Nadpis1"/>
      </w:pPr>
      <w:bookmarkStart w:id="57" w:name="_Toc422390689"/>
      <w:r>
        <w:t>Prílohy</w:t>
      </w:r>
      <w:bookmarkEnd w:id="57"/>
    </w:p>
    <w:p w14:paraId="335A25C0" w14:textId="77777777" w:rsidR="00E530D1" w:rsidRDefault="00E530D1"/>
    <w:p w14:paraId="7D7523F2" w14:textId="3458B311" w:rsidR="000145FC" w:rsidRDefault="000145FC">
      <w:r w:rsidRPr="000145FC">
        <w:t xml:space="preserve">Príloha pre výpočet </w:t>
      </w:r>
      <w:r w:rsidR="00E530D1">
        <w:t xml:space="preserve">TCO a </w:t>
      </w:r>
      <w:r w:rsidRPr="000145FC">
        <w:t>čistej súčasnej hodnoty z</w:t>
      </w:r>
      <w:r>
        <w:t> </w:t>
      </w:r>
      <w:r w:rsidRPr="000145FC">
        <w:t>projektu</w:t>
      </w:r>
      <w:r>
        <w:t>, p</w:t>
      </w:r>
      <w:r w:rsidRPr="000145FC">
        <w:t>re projekty zamerané na životné situácie</w:t>
      </w:r>
      <w:r>
        <w:t xml:space="preserve"> - </w:t>
      </w:r>
      <w:r w:rsidRPr="000145FC">
        <w:t xml:space="preserve">OPII Usmernenie k CBA - </w:t>
      </w:r>
      <w:proofErr w:type="spellStart"/>
      <w:r w:rsidRPr="000145FC">
        <w:t>ZS.xlsx</w:t>
      </w:r>
      <w:proofErr w:type="spellEnd"/>
      <w:r>
        <w:t>.</w:t>
      </w:r>
    </w:p>
    <w:p w14:paraId="55FE691E" w14:textId="5B7285AD" w:rsidR="000145FC" w:rsidRDefault="000145FC">
      <w:r w:rsidRPr="000145FC">
        <w:t>Príloha pre výpočet</w:t>
      </w:r>
      <w:r w:rsidR="00E530D1" w:rsidRPr="000145FC">
        <w:t xml:space="preserve"> </w:t>
      </w:r>
      <w:r w:rsidR="00E530D1">
        <w:t>TCO a</w:t>
      </w:r>
      <w:r w:rsidRPr="000145FC">
        <w:t xml:space="preserve"> čistej súčasnej hodnoty z</w:t>
      </w:r>
      <w:r>
        <w:t> </w:t>
      </w:r>
      <w:r w:rsidRPr="000145FC">
        <w:t>projektu</w:t>
      </w:r>
      <w:r>
        <w:t>, p</w:t>
      </w:r>
      <w:r w:rsidRPr="000145FC">
        <w:t>re projekty zamerané na služby agendových informačných systémov</w:t>
      </w:r>
      <w:r>
        <w:t xml:space="preserve"> - </w:t>
      </w:r>
      <w:r w:rsidRPr="000145FC">
        <w:t xml:space="preserve">OPII Usmernenie k CBA - </w:t>
      </w:r>
      <w:proofErr w:type="spellStart"/>
      <w:r w:rsidRPr="000145FC">
        <w:t>Agendove</w:t>
      </w:r>
      <w:proofErr w:type="spellEnd"/>
      <w:r w:rsidRPr="000145FC">
        <w:t xml:space="preserve"> </w:t>
      </w:r>
      <w:proofErr w:type="spellStart"/>
      <w:r w:rsidRPr="000145FC">
        <w:t>IS.xlsx</w:t>
      </w:r>
      <w:proofErr w:type="spellEnd"/>
      <w:r>
        <w:t>.</w:t>
      </w:r>
    </w:p>
    <w:p w14:paraId="7F2F3CE7" w14:textId="537F2253" w:rsidR="000145FC" w:rsidRDefault="000145FC" w:rsidP="000145FC">
      <w:r w:rsidRPr="000145FC">
        <w:t>Príloha pre výpočet</w:t>
      </w:r>
      <w:r w:rsidR="00E530D1" w:rsidRPr="000145FC">
        <w:t xml:space="preserve"> </w:t>
      </w:r>
      <w:r w:rsidR="00E530D1">
        <w:t>TCO a</w:t>
      </w:r>
      <w:r w:rsidRPr="000145FC">
        <w:t xml:space="preserve"> čistej súčasnej hodnoty z</w:t>
      </w:r>
      <w:r>
        <w:t> </w:t>
      </w:r>
      <w:r w:rsidRPr="000145FC">
        <w:t>projektu</w:t>
      </w:r>
      <w:r>
        <w:t>, p</w:t>
      </w:r>
      <w:r w:rsidRPr="000145FC">
        <w:t xml:space="preserve">re projekty zamerané na </w:t>
      </w:r>
      <w:proofErr w:type="spellStart"/>
      <w:r w:rsidRPr="000145FC">
        <w:t>cloudové</w:t>
      </w:r>
      <w:proofErr w:type="spellEnd"/>
      <w:r w:rsidRPr="000145FC">
        <w:t xml:space="preserve"> služby</w:t>
      </w:r>
      <w:r>
        <w:t xml:space="preserve"> - </w:t>
      </w:r>
      <w:r w:rsidRPr="000145FC">
        <w:t xml:space="preserve">OPII Usmernenie k CBA - </w:t>
      </w:r>
      <w:proofErr w:type="spellStart"/>
      <w:r w:rsidRPr="000145FC">
        <w:t>Cloud.xlsx</w:t>
      </w:r>
      <w:proofErr w:type="spellEnd"/>
      <w:r>
        <w:t>.</w:t>
      </w:r>
    </w:p>
    <w:p w14:paraId="14665040" w14:textId="77777777" w:rsidR="000145FC" w:rsidRDefault="000145FC" w:rsidP="00685896"/>
    <w:sectPr w:rsidR="000145FC" w:rsidSect="00E530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CA08E" w14:textId="77777777" w:rsidR="00C067C9" w:rsidRDefault="00C067C9" w:rsidP="0054157B">
      <w:pPr>
        <w:spacing w:after="0" w:line="240" w:lineRule="auto"/>
      </w:pPr>
      <w:r>
        <w:separator/>
      </w:r>
    </w:p>
  </w:endnote>
  <w:endnote w:type="continuationSeparator" w:id="0">
    <w:p w14:paraId="2478690E" w14:textId="77777777" w:rsidR="00C067C9" w:rsidRDefault="00C067C9" w:rsidP="00541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133F9" w14:textId="77777777" w:rsidR="00C067C9" w:rsidRPr="00A8349E" w:rsidRDefault="00C067C9" w:rsidP="005036BC">
    <w:pPr>
      <w:pStyle w:val="Pta"/>
      <w:jc w:val="center"/>
      <w:rPr>
        <w:color w:val="44546A" w:themeColor="text2"/>
        <w:sz w:val="18"/>
        <w:szCs w:val="18"/>
      </w:rPr>
    </w:pPr>
    <w:r w:rsidRPr="00A8349E">
      <w:rPr>
        <w:color w:val="44546A" w:themeColor="text2"/>
        <w:sz w:val="18"/>
        <w:szCs w:val="18"/>
      </w:rPr>
      <w:t>Európsky fond regionálneho rozvoja</w:t>
    </w:r>
  </w:p>
  <w:p w14:paraId="3BC3D8A2" w14:textId="58E3D32E" w:rsidR="00C067C9" w:rsidRDefault="00C067C9" w:rsidP="005036BC">
    <w:pPr>
      <w:pStyle w:val="Pta"/>
      <w:tabs>
        <w:tab w:val="left" w:pos="7724"/>
      </w:tabs>
      <w:jc w:val="center"/>
      <w:rPr>
        <w:color w:val="44546A" w:themeColor="text2"/>
        <w:sz w:val="18"/>
        <w:szCs w:val="18"/>
      </w:rPr>
    </w:pPr>
    <w:sdt>
      <w:sdtPr>
        <w:rPr>
          <w:color w:val="44546A" w:themeColor="text2"/>
          <w:sz w:val="18"/>
          <w:szCs w:val="18"/>
        </w:rPr>
        <w:alias w:val="Title"/>
        <w:tag w:val=""/>
        <w:id w:val="-1931504908"/>
        <w:dataBinding w:prefixMappings="xmlns:ns0='http://purl.org/dc/elements/1.1/' xmlns:ns1='http://schemas.openxmlformats.org/package/2006/metadata/core-properties' " w:xpath="/ns1:coreProperties[1]/ns0:title[1]" w:storeItemID="{6C3C8BC8-F283-45AE-878A-BAB7291924A1}"/>
        <w:text/>
      </w:sdtPr>
      <w:sdtContent>
        <w:r w:rsidR="00A536EA">
          <w:rPr>
            <w:color w:val="44546A" w:themeColor="text2"/>
            <w:sz w:val="18"/>
            <w:szCs w:val="18"/>
          </w:rPr>
          <w:t>Metodický pokyn k vypracovaniu finančnej analýzy projektu, analýzy nákladov a prínosov projektu, finančnej analýzy žiadateľa o NFP a Celkových nákladov na vlastníctvo v programovom období 2014 – 2020</w:t>
        </w:r>
      </w:sdtContent>
    </w:sdt>
  </w:p>
  <w:p w14:paraId="635A9E62" w14:textId="77777777" w:rsidR="00C067C9" w:rsidRPr="00A8349E" w:rsidRDefault="00C067C9" w:rsidP="005036BC">
    <w:pPr>
      <w:pStyle w:val="Pta"/>
      <w:tabs>
        <w:tab w:val="left" w:pos="7724"/>
      </w:tabs>
      <w:jc w:val="right"/>
      <w:rPr>
        <w:color w:val="44546A" w:themeColor="text2"/>
        <w:sz w:val="18"/>
        <w:szCs w:val="18"/>
      </w:rPr>
    </w:pPr>
    <w:r>
      <w:rPr>
        <w:color w:val="44546A" w:themeColor="text2"/>
        <w:sz w:val="18"/>
        <w:szCs w:val="18"/>
      </w:rPr>
      <w:tab/>
    </w:r>
    <w:r>
      <w:rPr>
        <w:color w:val="44546A" w:themeColor="text2"/>
        <w:sz w:val="18"/>
        <w:szCs w:val="18"/>
      </w:rPr>
      <w:fldChar w:fldCharType="begin"/>
    </w:r>
    <w:r>
      <w:rPr>
        <w:color w:val="44546A" w:themeColor="text2"/>
        <w:sz w:val="18"/>
        <w:szCs w:val="18"/>
      </w:rPr>
      <w:instrText xml:space="preserve"> PAGE   \* MERGEFORMAT </w:instrText>
    </w:r>
    <w:r>
      <w:rPr>
        <w:color w:val="44546A" w:themeColor="text2"/>
        <w:sz w:val="18"/>
        <w:szCs w:val="18"/>
      </w:rPr>
      <w:fldChar w:fldCharType="separate"/>
    </w:r>
    <w:r w:rsidR="0086360F">
      <w:rPr>
        <w:noProof/>
        <w:color w:val="44546A" w:themeColor="text2"/>
        <w:sz w:val="18"/>
        <w:szCs w:val="18"/>
      </w:rPr>
      <w:t>2</w:t>
    </w:r>
    <w:r>
      <w:rPr>
        <w:color w:val="44546A" w:themeColor="text2"/>
        <w:sz w:val="18"/>
        <w:szCs w:val="18"/>
      </w:rPr>
      <w:fldChar w:fldCharType="end"/>
    </w:r>
    <w:r>
      <w:rPr>
        <w:color w:val="44546A" w:themeColor="text2"/>
        <w:sz w:val="18"/>
        <w:szCs w:val="18"/>
      </w:rPr>
      <w:t>/</w:t>
    </w:r>
    <w:r>
      <w:rPr>
        <w:color w:val="44546A" w:themeColor="text2"/>
        <w:sz w:val="18"/>
        <w:szCs w:val="18"/>
      </w:rPr>
      <w:fldChar w:fldCharType="begin"/>
    </w:r>
    <w:r>
      <w:rPr>
        <w:color w:val="44546A" w:themeColor="text2"/>
        <w:sz w:val="18"/>
        <w:szCs w:val="18"/>
      </w:rPr>
      <w:instrText xml:space="preserve"> NUMPAGES   \* MERGEFORMAT </w:instrText>
    </w:r>
    <w:r>
      <w:rPr>
        <w:color w:val="44546A" w:themeColor="text2"/>
        <w:sz w:val="18"/>
        <w:szCs w:val="18"/>
      </w:rPr>
      <w:fldChar w:fldCharType="separate"/>
    </w:r>
    <w:r w:rsidR="0086360F">
      <w:rPr>
        <w:noProof/>
        <w:color w:val="44546A" w:themeColor="text2"/>
        <w:sz w:val="18"/>
        <w:szCs w:val="18"/>
      </w:rPr>
      <w:t>25</w:t>
    </w:r>
    <w:r>
      <w:rPr>
        <w:color w:val="44546A" w:themeColor="text2"/>
        <w:sz w:val="18"/>
        <w:szCs w:val="18"/>
      </w:rPr>
      <w:fldChar w:fldCharType="end"/>
    </w:r>
  </w:p>
  <w:p w14:paraId="267B0625" w14:textId="77777777" w:rsidR="00C067C9" w:rsidRPr="00BF6A0F" w:rsidRDefault="00C067C9" w:rsidP="005036BC">
    <w:pPr>
      <w:pStyle w:val="Pta"/>
      <w:jc w:val="center"/>
      <w:rPr>
        <w:color w:val="44546A" w:themeColor="text2"/>
        <w:sz w:val="18"/>
        <w:szCs w:val="18"/>
      </w:rPr>
    </w:pPr>
    <w:r w:rsidRPr="00A8349E">
      <w:rPr>
        <w:color w:val="44546A" w:themeColor="text2"/>
        <w:sz w:val="18"/>
        <w:szCs w:val="18"/>
      </w:rPr>
      <w:t>Spolufinancované z prostriedkov EÚ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9AD4F" w14:textId="77777777" w:rsidR="00C067C9" w:rsidRDefault="00C067C9">
    <w:pPr>
      <w:ind w:right="260"/>
      <w:rPr>
        <w:color w:val="222A35" w:themeColor="text2" w:themeShade="80"/>
        <w:sz w:val="26"/>
        <w:szCs w:val="26"/>
      </w:rPr>
    </w:pPr>
    <w:r>
      <w:rPr>
        <w:noProof/>
        <w:color w:val="44546A" w:themeColor="text2"/>
        <w:sz w:val="26"/>
        <w:szCs w:val="26"/>
        <w:lang w:eastAsia="sk-SK"/>
      </w:rPr>
      <mc:AlternateContent>
        <mc:Choice Requires="wps">
          <w:drawing>
            <wp:anchor distT="0" distB="0" distL="114300" distR="114300" simplePos="0" relativeHeight="251657728" behindDoc="0" locked="0" layoutInCell="1" allowOverlap="1" wp14:anchorId="0AAA9FDF" wp14:editId="4EC3DE4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ové pole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1FAB0" w14:textId="77777777" w:rsidR="00C067C9" w:rsidRDefault="00C067C9">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PAGE  \* Arabic  \* MERGEFORMAT</w:instrText>
                          </w:r>
                          <w:r>
                            <w:rPr>
                              <w:color w:val="222A35" w:themeColor="text2" w:themeShade="80"/>
                              <w:sz w:val="26"/>
                              <w:szCs w:val="26"/>
                            </w:rPr>
                            <w:fldChar w:fldCharType="separate"/>
                          </w:r>
                          <w:r w:rsidR="0086360F">
                            <w:rPr>
                              <w:noProof/>
                              <w:color w:val="222A35" w:themeColor="text2" w:themeShade="80"/>
                              <w:sz w:val="26"/>
                              <w:szCs w:val="26"/>
                            </w:rPr>
                            <w:t>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ové pole 49" o:spid="_x0000_s1026" type="#_x0000_t202" style="position:absolute;left:0;text-align:left;margin-left:0;margin-top:0;width:30.6pt;height:24.65pt;z-index:25165772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" fillcolor="white [3201]" stroked="f" strokeweight=".5pt">
              <v:textbox style="mso-fit-shape-to-text:t" inset="0,,0">
                <w:txbxContent>
                  <w:p w14:paraId="4251FAB0" w14:textId="77777777" w:rsidR="00C067C9" w:rsidRDefault="00C067C9">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PAGE  \* Arabic  \* MERGEFORMAT</w:instrText>
                    </w:r>
                    <w:r>
                      <w:rPr>
                        <w:color w:val="222A35" w:themeColor="text2" w:themeShade="80"/>
                        <w:sz w:val="26"/>
                        <w:szCs w:val="26"/>
                      </w:rPr>
                      <w:fldChar w:fldCharType="separate"/>
                    </w:r>
                    <w:r w:rsidR="0086360F">
                      <w:rPr>
                        <w:noProof/>
                        <w:color w:val="222A35" w:themeColor="text2" w:themeShade="80"/>
                        <w:sz w:val="26"/>
                        <w:szCs w:val="26"/>
                      </w:rPr>
                      <w:t>1</w:t>
                    </w:r>
                    <w:r>
                      <w:rPr>
                        <w:color w:val="222A35" w:themeColor="text2" w:themeShade="80"/>
                        <w:sz w:val="26"/>
                        <w:szCs w:val="26"/>
                      </w:rPr>
                      <w:fldChar w:fldCharType="end"/>
                    </w:r>
                  </w:p>
                </w:txbxContent>
              </v:textbox>
              <w10:wrap anchorx="page" anchory="page"/>
            </v:shape>
          </w:pict>
        </mc:Fallback>
      </mc:AlternateContent>
    </w:r>
  </w:p>
  <w:p w14:paraId="7D0742B1" w14:textId="7FAA6C6C" w:rsidR="00C067C9" w:rsidRPr="00EA3B69" w:rsidRDefault="00C067C9" w:rsidP="00EA3B6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3B8AF" w14:textId="77777777" w:rsidR="00C067C9" w:rsidRDefault="00C067C9" w:rsidP="0054157B">
      <w:pPr>
        <w:spacing w:after="0" w:line="240" w:lineRule="auto"/>
      </w:pPr>
      <w:r>
        <w:separator/>
      </w:r>
    </w:p>
  </w:footnote>
  <w:footnote w:type="continuationSeparator" w:id="0">
    <w:p w14:paraId="765107DF" w14:textId="77777777" w:rsidR="00C067C9" w:rsidRDefault="00C067C9" w:rsidP="0054157B">
      <w:pPr>
        <w:spacing w:after="0" w:line="240" w:lineRule="auto"/>
      </w:pPr>
      <w:r>
        <w:continuationSeparator/>
      </w:r>
    </w:p>
  </w:footnote>
  <w:footnote w:id="1">
    <w:p w14:paraId="23802B49" w14:textId="6D101671" w:rsidR="00C067C9" w:rsidRDefault="00C067C9">
      <w:pPr>
        <w:pStyle w:val="Textpoznmkypodiarou"/>
      </w:pPr>
      <w:r>
        <w:rPr>
          <w:rStyle w:val="Odkaznapoznmkupodiarou"/>
        </w:rPr>
        <w:footnoteRef/>
      </w:r>
      <w:r>
        <w:t xml:space="preserve"> Pre </w:t>
      </w:r>
      <w:proofErr w:type="spellStart"/>
      <w:r>
        <w:t>cloudové</w:t>
      </w:r>
      <w:proofErr w:type="spellEnd"/>
      <w:r>
        <w:t xml:space="preserve"> služby štátu sa však tento údaj neposudzuje ako finančný prínos, ale iba ako nepriamy indikatívny prínos pri poskytovaní </w:t>
      </w:r>
      <w:proofErr w:type="spellStart"/>
      <w:r>
        <w:t>cloudových</w:t>
      </w:r>
      <w:proofErr w:type="spellEnd"/>
      <w:r>
        <w:t xml:space="preserve"> služieb.</w:t>
      </w:r>
    </w:p>
  </w:footnote>
  <w:footnote w:id="2">
    <w:p w14:paraId="17CC5AC8" w14:textId="361DCA6A" w:rsidR="00C067C9" w:rsidRDefault="00C067C9">
      <w:pPr>
        <w:pStyle w:val="Textpoznmkypodiarou"/>
      </w:pPr>
      <w:r>
        <w:rPr>
          <w:rStyle w:val="Odkaznapoznmkupodiarou"/>
        </w:rPr>
        <w:footnoteRef/>
      </w:r>
      <w:r>
        <w:t xml:space="preserve"> </w:t>
      </w:r>
      <w:r w:rsidRPr="00AD6514">
        <w:t xml:space="preserve">Fixné </w:t>
      </w:r>
      <w:r>
        <w:t>výdavky</w:t>
      </w:r>
      <w:r w:rsidRPr="00AD6514">
        <w:t xml:space="preserve"> predstavujú </w:t>
      </w:r>
      <w:r>
        <w:t>výdavky</w:t>
      </w:r>
      <w:r w:rsidRPr="00AD6514">
        <w:t xml:space="preserve">, ktorých výška je nezávislá na počte volaní služby úseku správy a obsahujú položky ako náklady na HW, SW a služby (predovšetkým v oblasti IT ako správa a prevádzka existujúcich aplikácií). Variabilné </w:t>
      </w:r>
      <w:r>
        <w:t>výdavky</w:t>
      </w:r>
      <w:r w:rsidRPr="00AD6514">
        <w:t xml:space="preserve"> predstavujú </w:t>
      </w:r>
      <w:r>
        <w:t>výdavky</w:t>
      </w:r>
      <w:r w:rsidRPr="00AD6514">
        <w:t>, ktoré sa zvyšujú s počtom volaní služieb úseku a obsahujú také položky ako osobné náklady (zamestnancov poskytovateľa služby zabezpečujúcich výkon agendy) a všeobecný materiál (papier, náklady na tlač, poštovné).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191B3" w14:textId="14F19CF8" w:rsidR="00C067C9" w:rsidRPr="008761CA" w:rsidRDefault="00C067C9" w:rsidP="005036BC">
    <w:pPr>
      <w:pStyle w:val="Hlavika"/>
      <w:jc w:val="left"/>
      <w:rPr>
        <w:color w:val="44546A" w:themeColor="text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0F414" w14:textId="44064778" w:rsidR="00C067C9" w:rsidRPr="00EA3B69" w:rsidRDefault="00C067C9" w:rsidP="00EA3B69">
    <w:pPr>
      <w:pStyle w:val="Hlavika"/>
    </w:pPr>
    <w:r w:rsidRPr="00EA3B69">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1">
    <w:nsid w:val="00000006"/>
    <w:multiLevelType w:val="singleLevel"/>
    <w:tmpl w:val="00000006"/>
    <w:name w:val="WW8Num7"/>
    <w:lvl w:ilvl="0">
      <w:start w:val="1"/>
      <w:numFmt w:val="decimal"/>
      <w:lvlText w:val="%1."/>
      <w:lvlJc w:val="left"/>
      <w:pPr>
        <w:tabs>
          <w:tab w:val="num" w:pos="720"/>
        </w:tabs>
        <w:ind w:left="720" w:hanging="360"/>
      </w:pPr>
    </w:lvl>
  </w:abstractNum>
  <w:abstractNum w:abstractNumId="2">
    <w:nsid w:val="00000013"/>
    <w:multiLevelType w:val="singleLevel"/>
    <w:tmpl w:val="00000013"/>
    <w:name w:val="WW8Num36"/>
    <w:lvl w:ilvl="0">
      <w:start w:val="1"/>
      <w:numFmt w:val="bullet"/>
      <w:lvlText w:val=""/>
      <w:lvlJc w:val="left"/>
      <w:pPr>
        <w:tabs>
          <w:tab w:val="num" w:pos="720"/>
        </w:tabs>
        <w:ind w:left="720" w:hanging="360"/>
      </w:pPr>
      <w:rPr>
        <w:rFonts w:ascii="Symbol" w:hAnsi="Symbol"/>
      </w:rPr>
    </w:lvl>
  </w:abstractNum>
  <w:abstractNum w:abstractNumId="3">
    <w:nsid w:val="00000018"/>
    <w:multiLevelType w:val="singleLevel"/>
    <w:tmpl w:val="00000018"/>
    <w:name w:val="WW8Num46"/>
    <w:lvl w:ilvl="0">
      <w:start w:val="1"/>
      <w:numFmt w:val="bullet"/>
      <w:lvlText w:val=""/>
      <w:lvlJc w:val="left"/>
      <w:pPr>
        <w:tabs>
          <w:tab w:val="num" w:pos="720"/>
        </w:tabs>
        <w:ind w:left="720" w:hanging="360"/>
      </w:pPr>
      <w:rPr>
        <w:rFonts w:ascii="Symbol" w:hAnsi="Symbol"/>
      </w:rPr>
    </w:lvl>
  </w:abstractNum>
  <w:abstractNum w:abstractNumId="4">
    <w:nsid w:val="04E15434"/>
    <w:multiLevelType w:val="hybridMultilevel"/>
    <w:tmpl w:val="D1A64FDE"/>
    <w:lvl w:ilvl="0" w:tplc="634A919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0B270037"/>
    <w:multiLevelType w:val="hybridMultilevel"/>
    <w:tmpl w:val="E93E8F8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0762E23"/>
    <w:multiLevelType w:val="multilevel"/>
    <w:tmpl w:val="041B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4831"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nsid w:val="1D47563F"/>
    <w:multiLevelType w:val="hybridMultilevel"/>
    <w:tmpl w:val="5F62C4D6"/>
    <w:lvl w:ilvl="0" w:tplc="C49C42B0">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1">
    <w:nsid w:val="4F326A82"/>
    <w:multiLevelType w:val="hybridMultilevel"/>
    <w:tmpl w:val="6688FF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531D494A"/>
    <w:multiLevelType w:val="hybridMultilevel"/>
    <w:tmpl w:val="E3605A58"/>
    <w:lvl w:ilvl="0" w:tplc="8D44CA44">
      <w:numFmt w:val="bullet"/>
      <w:lvlText w:val="-"/>
      <w:lvlJc w:val="left"/>
      <w:pPr>
        <w:ind w:left="1440" w:hanging="360"/>
      </w:pPr>
      <w:rPr>
        <w:rFonts w:ascii="Calibri" w:eastAsiaTheme="minorHAnsi" w:hAnsi="Calibri" w:cstheme="minorBid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nsid w:val="566A60F4"/>
    <w:multiLevelType w:val="hybridMultilevel"/>
    <w:tmpl w:val="823CD7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56FF4772"/>
    <w:multiLevelType w:val="hybridMultilevel"/>
    <w:tmpl w:val="130E4D5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60457AC7"/>
    <w:multiLevelType w:val="hybridMultilevel"/>
    <w:tmpl w:val="CBCA86AC"/>
    <w:lvl w:ilvl="0" w:tplc="8C76EE82">
      <w:start w:val="1"/>
      <w:numFmt w:val="decimal"/>
      <w:lvlText w:val="%1."/>
      <w:lvlJc w:val="left"/>
      <w:pPr>
        <w:ind w:left="1080" w:hanging="72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67D7024C"/>
    <w:multiLevelType w:val="hybridMultilevel"/>
    <w:tmpl w:val="9CEECF42"/>
    <w:lvl w:ilvl="0" w:tplc="AAE00588">
      <w:start w:val="1"/>
      <w:numFmt w:val="decimal"/>
      <w:lvlText w:val="%1."/>
      <w:lvlJc w:val="left"/>
      <w:pPr>
        <w:ind w:left="1572" w:hanging="852"/>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nsid w:val="6C4030FF"/>
    <w:multiLevelType w:val="singleLevel"/>
    <w:tmpl w:val="98C06358"/>
    <w:lvl w:ilvl="0">
      <w:start w:val="1"/>
      <w:numFmt w:val="bullet"/>
      <w:pStyle w:val="Zoznamsodrkami2"/>
      <w:lvlText w:val="-"/>
      <w:lvlJc w:val="left"/>
      <w:pPr>
        <w:tabs>
          <w:tab w:val="num" w:pos="680"/>
        </w:tabs>
        <w:ind w:left="680" w:hanging="340"/>
      </w:pPr>
      <w:rPr>
        <w:rFonts w:ascii="9999999" w:hAnsi="9999999" w:cs="Courier New" w:hint="default"/>
      </w:rPr>
    </w:lvl>
  </w:abstractNum>
  <w:abstractNum w:abstractNumId="18">
    <w:nsid w:val="707B6956"/>
    <w:multiLevelType w:val="multilevel"/>
    <w:tmpl w:val="08121934"/>
    <w:lvl w:ilvl="0">
      <w:start w:val="1"/>
      <w:numFmt w:val="decimal"/>
      <w:lvlText w:val="%1."/>
      <w:lvlJc w:val="left"/>
      <w:pPr>
        <w:ind w:left="720" w:hanging="360"/>
      </w:pPr>
      <w:rPr>
        <w:rFonts w:hint="default"/>
        <w:b/>
      </w:rPr>
    </w:lvl>
    <w:lvl w:ilvl="1">
      <w:start w:val="4"/>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741C2EB3"/>
    <w:multiLevelType w:val="hybridMultilevel"/>
    <w:tmpl w:val="71846526"/>
    <w:lvl w:ilvl="0" w:tplc="8D44CA4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8"/>
  </w:num>
  <w:num w:numId="4">
    <w:abstractNumId w:val="8"/>
  </w:num>
  <w:num w:numId="5">
    <w:abstractNumId w:val="12"/>
  </w:num>
  <w:num w:numId="6">
    <w:abstractNumId w:val="0"/>
  </w:num>
  <w:num w:numId="7">
    <w:abstractNumId w:val="16"/>
  </w:num>
  <w:num w:numId="8">
    <w:abstractNumId w:val="1"/>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5"/>
  </w:num>
  <w:num w:numId="13">
    <w:abstractNumId w:val="4"/>
  </w:num>
  <w:num w:numId="14">
    <w:abstractNumId w:val="5"/>
  </w:num>
  <w:num w:numId="15">
    <w:abstractNumId w:val="14"/>
  </w:num>
  <w:num w:numId="16">
    <w:abstractNumId w:val="9"/>
  </w:num>
  <w:num w:numId="17">
    <w:abstractNumId w:val="10"/>
  </w:num>
  <w:num w:numId="18">
    <w:abstractNumId w:val="17"/>
  </w:num>
  <w:num w:numId="19">
    <w:abstractNumId w:val="13"/>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EBC"/>
    <w:rsid w:val="000011F0"/>
    <w:rsid w:val="000145FC"/>
    <w:rsid w:val="000320BE"/>
    <w:rsid w:val="000327A5"/>
    <w:rsid w:val="000335B5"/>
    <w:rsid w:val="0005709C"/>
    <w:rsid w:val="00074FDD"/>
    <w:rsid w:val="00080CEA"/>
    <w:rsid w:val="00081B23"/>
    <w:rsid w:val="00081E1C"/>
    <w:rsid w:val="000857B6"/>
    <w:rsid w:val="00092176"/>
    <w:rsid w:val="00095225"/>
    <w:rsid w:val="000C572F"/>
    <w:rsid w:val="000C661D"/>
    <w:rsid w:val="000F1A70"/>
    <w:rsid w:val="0010056F"/>
    <w:rsid w:val="00100AFD"/>
    <w:rsid w:val="00105617"/>
    <w:rsid w:val="00112243"/>
    <w:rsid w:val="00133EE4"/>
    <w:rsid w:val="001433F3"/>
    <w:rsid w:val="00145104"/>
    <w:rsid w:val="00146ED8"/>
    <w:rsid w:val="00150118"/>
    <w:rsid w:val="00152941"/>
    <w:rsid w:val="0015489E"/>
    <w:rsid w:val="00155D67"/>
    <w:rsid w:val="00156721"/>
    <w:rsid w:val="00157EB4"/>
    <w:rsid w:val="001B1194"/>
    <w:rsid w:val="001B277E"/>
    <w:rsid w:val="001B4295"/>
    <w:rsid w:val="001D2427"/>
    <w:rsid w:val="001D4F63"/>
    <w:rsid w:val="001E68A9"/>
    <w:rsid w:val="001F7DC0"/>
    <w:rsid w:val="0020379A"/>
    <w:rsid w:val="00216DA6"/>
    <w:rsid w:val="00224207"/>
    <w:rsid w:val="0022528D"/>
    <w:rsid w:val="00234109"/>
    <w:rsid w:val="002633EB"/>
    <w:rsid w:val="00263F14"/>
    <w:rsid w:val="00274028"/>
    <w:rsid w:val="00274E30"/>
    <w:rsid w:val="00275450"/>
    <w:rsid w:val="00277254"/>
    <w:rsid w:val="0029372A"/>
    <w:rsid w:val="002A105E"/>
    <w:rsid w:val="002A753B"/>
    <w:rsid w:val="002B7087"/>
    <w:rsid w:val="002E3FC1"/>
    <w:rsid w:val="002F6A76"/>
    <w:rsid w:val="00307E3F"/>
    <w:rsid w:val="003168DB"/>
    <w:rsid w:val="00326258"/>
    <w:rsid w:val="00326CA9"/>
    <w:rsid w:val="003450FD"/>
    <w:rsid w:val="00345B90"/>
    <w:rsid w:val="00390AD2"/>
    <w:rsid w:val="00392E06"/>
    <w:rsid w:val="003A0F8F"/>
    <w:rsid w:val="003A3D0A"/>
    <w:rsid w:val="003A4E09"/>
    <w:rsid w:val="003A63C9"/>
    <w:rsid w:val="003C2A37"/>
    <w:rsid w:val="003C69CA"/>
    <w:rsid w:val="003C7771"/>
    <w:rsid w:val="003E146B"/>
    <w:rsid w:val="003E1D7A"/>
    <w:rsid w:val="003E4302"/>
    <w:rsid w:val="003F394F"/>
    <w:rsid w:val="004062B1"/>
    <w:rsid w:val="00417310"/>
    <w:rsid w:val="00424E5E"/>
    <w:rsid w:val="0042592B"/>
    <w:rsid w:val="00444185"/>
    <w:rsid w:val="00444D9E"/>
    <w:rsid w:val="0046317E"/>
    <w:rsid w:val="00466017"/>
    <w:rsid w:val="00467622"/>
    <w:rsid w:val="00473EC5"/>
    <w:rsid w:val="00474B56"/>
    <w:rsid w:val="00497142"/>
    <w:rsid w:val="004A159A"/>
    <w:rsid w:val="004B00AD"/>
    <w:rsid w:val="004B6DF4"/>
    <w:rsid w:val="004C1763"/>
    <w:rsid w:val="004C46AB"/>
    <w:rsid w:val="004E5D8A"/>
    <w:rsid w:val="004F1162"/>
    <w:rsid w:val="004F748B"/>
    <w:rsid w:val="005036BC"/>
    <w:rsid w:val="00522B95"/>
    <w:rsid w:val="00527D9B"/>
    <w:rsid w:val="005347DF"/>
    <w:rsid w:val="0054157B"/>
    <w:rsid w:val="00542432"/>
    <w:rsid w:val="00542CEE"/>
    <w:rsid w:val="00544D23"/>
    <w:rsid w:val="00562483"/>
    <w:rsid w:val="005649BA"/>
    <w:rsid w:val="00574A2A"/>
    <w:rsid w:val="00575F8E"/>
    <w:rsid w:val="00577B17"/>
    <w:rsid w:val="00584CAA"/>
    <w:rsid w:val="00584FC7"/>
    <w:rsid w:val="00592F4C"/>
    <w:rsid w:val="0059621B"/>
    <w:rsid w:val="005A1C32"/>
    <w:rsid w:val="005A4564"/>
    <w:rsid w:val="005C380E"/>
    <w:rsid w:val="005D1598"/>
    <w:rsid w:val="005E5978"/>
    <w:rsid w:val="005E68B5"/>
    <w:rsid w:val="005F2054"/>
    <w:rsid w:val="005F30E7"/>
    <w:rsid w:val="00603E8E"/>
    <w:rsid w:val="006104A7"/>
    <w:rsid w:val="00610B46"/>
    <w:rsid w:val="00623ECF"/>
    <w:rsid w:val="00641AFC"/>
    <w:rsid w:val="00650E9F"/>
    <w:rsid w:val="00654676"/>
    <w:rsid w:val="00660934"/>
    <w:rsid w:val="006647CB"/>
    <w:rsid w:val="00670016"/>
    <w:rsid w:val="00675AA2"/>
    <w:rsid w:val="0067652E"/>
    <w:rsid w:val="00680509"/>
    <w:rsid w:val="006820BD"/>
    <w:rsid w:val="00685896"/>
    <w:rsid w:val="00691C5D"/>
    <w:rsid w:val="006A02A1"/>
    <w:rsid w:val="006A61E9"/>
    <w:rsid w:val="006C6E0F"/>
    <w:rsid w:val="006C6F5B"/>
    <w:rsid w:val="006D32C4"/>
    <w:rsid w:val="00700E9F"/>
    <w:rsid w:val="00706FBA"/>
    <w:rsid w:val="0071264A"/>
    <w:rsid w:val="00717438"/>
    <w:rsid w:val="00720570"/>
    <w:rsid w:val="0072078B"/>
    <w:rsid w:val="007258C1"/>
    <w:rsid w:val="00726A12"/>
    <w:rsid w:val="00734F78"/>
    <w:rsid w:val="0073641D"/>
    <w:rsid w:val="00740E38"/>
    <w:rsid w:val="007427A2"/>
    <w:rsid w:val="00744A6D"/>
    <w:rsid w:val="00751B66"/>
    <w:rsid w:val="00771D01"/>
    <w:rsid w:val="00781323"/>
    <w:rsid w:val="00785AEF"/>
    <w:rsid w:val="00793F81"/>
    <w:rsid w:val="00797DC7"/>
    <w:rsid w:val="007A0BBD"/>
    <w:rsid w:val="007A45B5"/>
    <w:rsid w:val="007B362A"/>
    <w:rsid w:val="007D060D"/>
    <w:rsid w:val="007E6C4F"/>
    <w:rsid w:val="007F131A"/>
    <w:rsid w:val="007F3B23"/>
    <w:rsid w:val="007F43DD"/>
    <w:rsid w:val="0080672A"/>
    <w:rsid w:val="00810DEA"/>
    <w:rsid w:val="00811073"/>
    <w:rsid w:val="0081331C"/>
    <w:rsid w:val="008148C6"/>
    <w:rsid w:val="00831106"/>
    <w:rsid w:val="00831947"/>
    <w:rsid w:val="00843ECF"/>
    <w:rsid w:val="00844752"/>
    <w:rsid w:val="00850E69"/>
    <w:rsid w:val="008539CD"/>
    <w:rsid w:val="0086360F"/>
    <w:rsid w:val="00893811"/>
    <w:rsid w:val="00893D2C"/>
    <w:rsid w:val="008A3D9C"/>
    <w:rsid w:val="008B3194"/>
    <w:rsid w:val="008C0505"/>
    <w:rsid w:val="0090273F"/>
    <w:rsid w:val="00907CDE"/>
    <w:rsid w:val="00915F44"/>
    <w:rsid w:val="009334F9"/>
    <w:rsid w:val="00934988"/>
    <w:rsid w:val="00941683"/>
    <w:rsid w:val="009437BF"/>
    <w:rsid w:val="00943F41"/>
    <w:rsid w:val="00962EDE"/>
    <w:rsid w:val="00973003"/>
    <w:rsid w:val="0098447D"/>
    <w:rsid w:val="009875F8"/>
    <w:rsid w:val="009B0CCA"/>
    <w:rsid w:val="009B2A2A"/>
    <w:rsid w:val="009B6CE7"/>
    <w:rsid w:val="009B7BAD"/>
    <w:rsid w:val="009C2325"/>
    <w:rsid w:val="009E7814"/>
    <w:rsid w:val="009F08E4"/>
    <w:rsid w:val="009F5971"/>
    <w:rsid w:val="00A13B20"/>
    <w:rsid w:val="00A21C10"/>
    <w:rsid w:val="00A23397"/>
    <w:rsid w:val="00A265E8"/>
    <w:rsid w:val="00A2703C"/>
    <w:rsid w:val="00A31596"/>
    <w:rsid w:val="00A43CFD"/>
    <w:rsid w:val="00A45E7A"/>
    <w:rsid w:val="00A465C0"/>
    <w:rsid w:val="00A52B10"/>
    <w:rsid w:val="00A536EA"/>
    <w:rsid w:val="00A542B4"/>
    <w:rsid w:val="00A61514"/>
    <w:rsid w:val="00A6391F"/>
    <w:rsid w:val="00A66D5D"/>
    <w:rsid w:val="00A702E8"/>
    <w:rsid w:val="00A75722"/>
    <w:rsid w:val="00A85B69"/>
    <w:rsid w:val="00A97FE0"/>
    <w:rsid w:val="00AB38E8"/>
    <w:rsid w:val="00AC0A1C"/>
    <w:rsid w:val="00AC0C40"/>
    <w:rsid w:val="00AD1F50"/>
    <w:rsid w:val="00AD6514"/>
    <w:rsid w:val="00AE4371"/>
    <w:rsid w:val="00AF1513"/>
    <w:rsid w:val="00AF2A19"/>
    <w:rsid w:val="00AF2F78"/>
    <w:rsid w:val="00AF3984"/>
    <w:rsid w:val="00AF768A"/>
    <w:rsid w:val="00B031E3"/>
    <w:rsid w:val="00B2145A"/>
    <w:rsid w:val="00B37F8B"/>
    <w:rsid w:val="00B42D27"/>
    <w:rsid w:val="00B44676"/>
    <w:rsid w:val="00B54741"/>
    <w:rsid w:val="00B63E3D"/>
    <w:rsid w:val="00B73260"/>
    <w:rsid w:val="00B912F6"/>
    <w:rsid w:val="00B91505"/>
    <w:rsid w:val="00BA014F"/>
    <w:rsid w:val="00BA1576"/>
    <w:rsid w:val="00BE0867"/>
    <w:rsid w:val="00BE2293"/>
    <w:rsid w:val="00BF3983"/>
    <w:rsid w:val="00C067C9"/>
    <w:rsid w:val="00C13D41"/>
    <w:rsid w:val="00C24565"/>
    <w:rsid w:val="00C253C5"/>
    <w:rsid w:val="00C2574C"/>
    <w:rsid w:val="00C40543"/>
    <w:rsid w:val="00C41243"/>
    <w:rsid w:val="00C43B7E"/>
    <w:rsid w:val="00C75D30"/>
    <w:rsid w:val="00C97C3B"/>
    <w:rsid w:val="00CA568D"/>
    <w:rsid w:val="00CB35D3"/>
    <w:rsid w:val="00CB62F4"/>
    <w:rsid w:val="00CC7824"/>
    <w:rsid w:val="00CD6566"/>
    <w:rsid w:val="00CD7C91"/>
    <w:rsid w:val="00CE5B1D"/>
    <w:rsid w:val="00CF4EBC"/>
    <w:rsid w:val="00CF6C98"/>
    <w:rsid w:val="00D05CCE"/>
    <w:rsid w:val="00D43E92"/>
    <w:rsid w:val="00D60E25"/>
    <w:rsid w:val="00D77008"/>
    <w:rsid w:val="00D77D99"/>
    <w:rsid w:val="00D81A1B"/>
    <w:rsid w:val="00D8289C"/>
    <w:rsid w:val="00D97558"/>
    <w:rsid w:val="00DB2BA7"/>
    <w:rsid w:val="00DB65A1"/>
    <w:rsid w:val="00DB7CBB"/>
    <w:rsid w:val="00DC4D06"/>
    <w:rsid w:val="00DC731D"/>
    <w:rsid w:val="00DD5692"/>
    <w:rsid w:val="00DD7038"/>
    <w:rsid w:val="00DD7C86"/>
    <w:rsid w:val="00DE03FC"/>
    <w:rsid w:val="00DE1A9B"/>
    <w:rsid w:val="00E00ABF"/>
    <w:rsid w:val="00E2592E"/>
    <w:rsid w:val="00E30764"/>
    <w:rsid w:val="00E332B7"/>
    <w:rsid w:val="00E342A9"/>
    <w:rsid w:val="00E35943"/>
    <w:rsid w:val="00E41111"/>
    <w:rsid w:val="00E52A4B"/>
    <w:rsid w:val="00E530D1"/>
    <w:rsid w:val="00E811B9"/>
    <w:rsid w:val="00E814BD"/>
    <w:rsid w:val="00E81E76"/>
    <w:rsid w:val="00E821D3"/>
    <w:rsid w:val="00E83C30"/>
    <w:rsid w:val="00E92DA3"/>
    <w:rsid w:val="00EA1386"/>
    <w:rsid w:val="00EA3B69"/>
    <w:rsid w:val="00EA57A5"/>
    <w:rsid w:val="00EA78FA"/>
    <w:rsid w:val="00EB5559"/>
    <w:rsid w:val="00EF6B26"/>
    <w:rsid w:val="00F01258"/>
    <w:rsid w:val="00F02AEA"/>
    <w:rsid w:val="00F07380"/>
    <w:rsid w:val="00F13FC8"/>
    <w:rsid w:val="00F1794B"/>
    <w:rsid w:val="00F200D0"/>
    <w:rsid w:val="00F33AE0"/>
    <w:rsid w:val="00F375EE"/>
    <w:rsid w:val="00F42558"/>
    <w:rsid w:val="00F44A6E"/>
    <w:rsid w:val="00F51C34"/>
    <w:rsid w:val="00F60CB9"/>
    <w:rsid w:val="00F718F0"/>
    <w:rsid w:val="00F80C77"/>
    <w:rsid w:val="00F85A09"/>
    <w:rsid w:val="00F94BA5"/>
    <w:rsid w:val="00FA6007"/>
    <w:rsid w:val="00FA6E4E"/>
    <w:rsid w:val="00FC1065"/>
    <w:rsid w:val="00FD4096"/>
    <w:rsid w:val="00FD66F9"/>
    <w:rsid w:val="00FE2E88"/>
    <w:rsid w:val="00FE4E36"/>
    <w:rsid w:val="00FF128C"/>
    <w:rsid w:val="00FF62B9"/>
    <w:rsid w:val="00FF70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72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41683"/>
    <w:pPr>
      <w:spacing w:after="200" w:line="276" w:lineRule="auto"/>
      <w:jc w:val="both"/>
    </w:pPr>
    <w:rPr>
      <w:rFonts w:ascii="Arial Narrow" w:eastAsia="Times New Roman" w:hAnsi="Arial Narrow" w:cs="Times New Roman"/>
      <w:szCs w:val="36"/>
    </w:rPr>
  </w:style>
  <w:style w:type="paragraph" w:styleId="Nadpis1">
    <w:name w:val="heading 1"/>
    <w:aliases w:val="0Überschrift 1,1Überschrift 1,2Überschrift 1,3Übersch"/>
    <w:basedOn w:val="Normlny"/>
    <w:next w:val="Normlny"/>
    <w:link w:val="Nadpis1Char"/>
    <w:qFormat/>
    <w:rsid w:val="00941683"/>
    <w:pPr>
      <w:keepNext/>
      <w:keepLines/>
      <w:pageBreakBefore/>
      <w:numPr>
        <w:numId w:val="1"/>
      </w:numPr>
      <w:spacing w:before="240" w:after="0"/>
      <w:outlineLvl w:val="0"/>
    </w:pPr>
    <w:rPr>
      <w:rFonts w:eastAsiaTheme="majorEastAsia" w:cstheme="majorBidi"/>
      <w:color w:val="2E74B5" w:themeColor="accent1" w:themeShade="BF"/>
      <w:sz w:val="32"/>
      <w:szCs w:val="32"/>
    </w:rPr>
  </w:style>
  <w:style w:type="paragraph" w:styleId="Nadpis2">
    <w:name w:val="heading 2"/>
    <w:aliases w:val="Chapter,1.Seite,Sub Heading,H2,Heading 2rh,Prophead 2"/>
    <w:basedOn w:val="Normlny"/>
    <w:next w:val="Normlny"/>
    <w:link w:val="Nadpis2Char"/>
    <w:unhideWhenUsed/>
    <w:qFormat/>
    <w:rsid w:val="00941683"/>
    <w:pPr>
      <w:keepNext/>
      <w:keepLines/>
      <w:numPr>
        <w:ilvl w:val="1"/>
        <w:numId w:val="1"/>
      </w:numPr>
      <w:spacing w:before="40" w:after="0"/>
      <w:outlineLvl w:val="1"/>
    </w:pPr>
    <w:rPr>
      <w:rFonts w:eastAsiaTheme="majorEastAsia" w:cstheme="majorBidi"/>
      <w:color w:val="2E74B5" w:themeColor="accent1" w:themeShade="BF"/>
      <w:sz w:val="28"/>
      <w:szCs w:val="26"/>
    </w:rPr>
  </w:style>
  <w:style w:type="paragraph" w:styleId="Nadpis3">
    <w:name w:val="heading 3"/>
    <w:aliases w:val="H3,3,ASAPHeading 3,h3,sub-sub,sub section header,subs"/>
    <w:basedOn w:val="Normlny"/>
    <w:next w:val="Normlny"/>
    <w:link w:val="Nadpis3Char"/>
    <w:unhideWhenUsed/>
    <w:qFormat/>
    <w:rsid w:val="00941683"/>
    <w:pPr>
      <w:keepNext/>
      <w:keepLines/>
      <w:numPr>
        <w:ilvl w:val="2"/>
        <w:numId w:val="1"/>
      </w:numPr>
      <w:spacing w:before="40" w:after="0"/>
      <w:outlineLvl w:val="2"/>
    </w:pPr>
    <w:rPr>
      <w:rFonts w:eastAsiaTheme="majorEastAsia" w:cstheme="majorBidi"/>
      <w:color w:val="1F4D78" w:themeColor="accent1" w:themeShade="7F"/>
      <w:sz w:val="24"/>
      <w:szCs w:val="24"/>
    </w:rPr>
  </w:style>
  <w:style w:type="paragraph" w:styleId="Nadpis4">
    <w:name w:val="heading 4"/>
    <w:aliases w:val="Level 2 - a Char,Bullet 1 Char,h4 Char,Sub-Minor"/>
    <w:basedOn w:val="Normlny"/>
    <w:next w:val="Normlny"/>
    <w:link w:val="Nadpis4Char"/>
    <w:unhideWhenUsed/>
    <w:qFormat/>
    <w:rsid w:val="0094168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nhideWhenUsed/>
    <w:qFormat/>
    <w:rsid w:val="0094168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nhideWhenUsed/>
    <w:qFormat/>
    <w:rsid w:val="0094168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nhideWhenUsed/>
    <w:qFormat/>
    <w:rsid w:val="0094168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nhideWhenUsed/>
    <w:qFormat/>
    <w:rsid w:val="009416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nhideWhenUsed/>
    <w:qFormat/>
    <w:rsid w:val="009416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0Überschrift 1 Char,1Überschrift 1 Char,2Überschrift 1 Char,3Übersch Char"/>
    <w:basedOn w:val="Predvolenpsmoodseku"/>
    <w:link w:val="Nadpis1"/>
    <w:rsid w:val="00941683"/>
    <w:rPr>
      <w:rFonts w:ascii="Arial Narrow" w:eastAsiaTheme="majorEastAsia" w:hAnsi="Arial Narrow" w:cstheme="majorBidi"/>
      <w:color w:val="2E74B5" w:themeColor="accent1" w:themeShade="BF"/>
      <w:sz w:val="32"/>
      <w:szCs w:val="32"/>
    </w:rPr>
  </w:style>
  <w:style w:type="character" w:customStyle="1" w:styleId="Nadpis2Char">
    <w:name w:val="Nadpis 2 Char"/>
    <w:aliases w:val="Chapter Char,1.Seite Char,Sub Heading Char,H2 Char,Heading 2rh Char,Prophead 2 Char"/>
    <w:basedOn w:val="Predvolenpsmoodseku"/>
    <w:link w:val="Nadpis2"/>
    <w:rsid w:val="00941683"/>
    <w:rPr>
      <w:rFonts w:ascii="Arial Narrow" w:eastAsiaTheme="majorEastAsia" w:hAnsi="Arial Narrow" w:cstheme="majorBidi"/>
      <w:color w:val="2E74B5" w:themeColor="accent1" w:themeShade="BF"/>
      <w:sz w:val="28"/>
      <w:szCs w:val="26"/>
    </w:rPr>
  </w:style>
  <w:style w:type="character" w:customStyle="1" w:styleId="Nadpis3Char">
    <w:name w:val="Nadpis 3 Char"/>
    <w:aliases w:val="H3 Char,3 Char,ASAPHeading 3 Char,h3 Char,sub-sub Char,sub section header Char,subs Char"/>
    <w:basedOn w:val="Predvolenpsmoodseku"/>
    <w:link w:val="Nadpis3"/>
    <w:rsid w:val="00941683"/>
    <w:rPr>
      <w:rFonts w:ascii="Arial Narrow" w:eastAsiaTheme="majorEastAsia" w:hAnsi="Arial Narrow" w:cstheme="majorBidi"/>
      <w:color w:val="1F4D78" w:themeColor="accent1" w:themeShade="7F"/>
      <w:sz w:val="24"/>
      <w:szCs w:val="24"/>
    </w:rPr>
  </w:style>
  <w:style w:type="character" w:customStyle="1" w:styleId="Nadpis4Char">
    <w:name w:val="Nadpis 4 Char"/>
    <w:aliases w:val="Level 2 - a Char Char,Bullet 1 Char Char,h4 Char Char,Sub-Minor Char"/>
    <w:basedOn w:val="Predvolenpsmoodseku"/>
    <w:link w:val="Nadpis4"/>
    <w:rsid w:val="00941683"/>
    <w:rPr>
      <w:rFonts w:asciiTheme="majorHAnsi" w:eastAsiaTheme="majorEastAsia" w:hAnsiTheme="majorHAnsi" w:cstheme="majorBidi"/>
      <w:i/>
      <w:iCs/>
      <w:color w:val="2E74B5" w:themeColor="accent1" w:themeShade="BF"/>
      <w:szCs w:val="36"/>
    </w:rPr>
  </w:style>
  <w:style w:type="character" w:customStyle="1" w:styleId="Nadpis5Char">
    <w:name w:val="Nadpis 5 Char"/>
    <w:basedOn w:val="Predvolenpsmoodseku"/>
    <w:link w:val="Nadpis5"/>
    <w:rsid w:val="00941683"/>
    <w:rPr>
      <w:rFonts w:asciiTheme="majorHAnsi" w:eastAsiaTheme="majorEastAsia" w:hAnsiTheme="majorHAnsi" w:cstheme="majorBidi"/>
      <w:color w:val="2E74B5" w:themeColor="accent1" w:themeShade="BF"/>
      <w:szCs w:val="36"/>
    </w:rPr>
  </w:style>
  <w:style w:type="character" w:customStyle="1" w:styleId="Nadpis6Char">
    <w:name w:val="Nadpis 6 Char"/>
    <w:basedOn w:val="Predvolenpsmoodseku"/>
    <w:link w:val="Nadpis6"/>
    <w:rsid w:val="00941683"/>
    <w:rPr>
      <w:rFonts w:asciiTheme="majorHAnsi" w:eastAsiaTheme="majorEastAsia" w:hAnsiTheme="majorHAnsi" w:cstheme="majorBidi"/>
      <w:color w:val="1F4D78" w:themeColor="accent1" w:themeShade="7F"/>
      <w:szCs w:val="36"/>
    </w:rPr>
  </w:style>
  <w:style w:type="character" w:customStyle="1" w:styleId="Nadpis7Char">
    <w:name w:val="Nadpis 7 Char"/>
    <w:basedOn w:val="Predvolenpsmoodseku"/>
    <w:link w:val="Nadpis7"/>
    <w:rsid w:val="00941683"/>
    <w:rPr>
      <w:rFonts w:asciiTheme="majorHAnsi" w:eastAsiaTheme="majorEastAsia" w:hAnsiTheme="majorHAnsi" w:cstheme="majorBidi"/>
      <w:i/>
      <w:iCs/>
      <w:color w:val="1F4D78" w:themeColor="accent1" w:themeShade="7F"/>
      <w:szCs w:val="36"/>
    </w:rPr>
  </w:style>
  <w:style w:type="character" w:customStyle="1" w:styleId="Nadpis8Char">
    <w:name w:val="Nadpis 8 Char"/>
    <w:basedOn w:val="Predvolenpsmoodseku"/>
    <w:link w:val="Nadpis8"/>
    <w:rsid w:val="00941683"/>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rsid w:val="00941683"/>
    <w:rPr>
      <w:rFonts w:asciiTheme="majorHAnsi" w:eastAsiaTheme="majorEastAsia" w:hAnsiTheme="majorHAnsi" w:cstheme="majorBidi"/>
      <w:i/>
      <w:iCs/>
      <w:color w:val="272727" w:themeColor="text1" w:themeTint="D8"/>
      <w:sz w:val="21"/>
      <w:szCs w:val="21"/>
    </w:rPr>
  </w:style>
  <w:style w:type="paragraph" w:styleId="Popis">
    <w:name w:val="caption"/>
    <w:basedOn w:val="Normlny"/>
    <w:next w:val="Normlny"/>
    <w:unhideWhenUsed/>
    <w:qFormat/>
    <w:rsid w:val="00941683"/>
    <w:pPr>
      <w:spacing w:line="240" w:lineRule="auto"/>
      <w:jc w:val="center"/>
    </w:pPr>
    <w:rPr>
      <w:i/>
      <w:iCs/>
      <w:color w:val="44546A" w:themeColor="text2"/>
      <w:sz w:val="18"/>
      <w:szCs w:val="18"/>
    </w:rPr>
  </w:style>
  <w:style w:type="paragraph" w:styleId="Zkladntext">
    <w:name w:val="Body Text"/>
    <w:aliases w:val=" Char,b,heading3,Body Text - Level 2,Char"/>
    <w:basedOn w:val="Normlny"/>
    <w:link w:val="ZkladntextChar"/>
    <w:rsid w:val="00941683"/>
    <w:pPr>
      <w:spacing w:before="130" w:after="130" w:line="240" w:lineRule="auto"/>
    </w:pPr>
    <w:rPr>
      <w:szCs w:val="20"/>
    </w:rPr>
  </w:style>
  <w:style w:type="character" w:customStyle="1" w:styleId="ZkladntextChar">
    <w:name w:val="Základný text Char"/>
    <w:aliases w:val=" Char Char,b Char,heading3 Char,Body Text - Level 2 Char,Char Char"/>
    <w:basedOn w:val="Predvolenpsmoodseku"/>
    <w:link w:val="Zkladntext"/>
    <w:rsid w:val="00941683"/>
    <w:rPr>
      <w:rFonts w:ascii="Arial Narrow" w:eastAsia="Times New Roman" w:hAnsi="Arial Narrow" w:cs="Times New Roman"/>
      <w:szCs w:val="20"/>
    </w:rPr>
  </w:style>
  <w:style w:type="character" w:styleId="Textzstupnhosymbolu">
    <w:name w:val="Placeholder Text"/>
    <w:basedOn w:val="Predvolenpsmoodseku"/>
    <w:uiPriority w:val="99"/>
    <w:semiHidden/>
    <w:rsid w:val="00941683"/>
    <w:rPr>
      <w:color w:val="808080"/>
    </w:rPr>
  </w:style>
  <w:style w:type="paragraph" w:styleId="Nzov">
    <w:name w:val="Title"/>
    <w:basedOn w:val="Normlny"/>
    <w:next w:val="Normlny"/>
    <w:link w:val="NzovChar"/>
    <w:uiPriority w:val="10"/>
    <w:qFormat/>
    <w:rsid w:val="00941683"/>
    <w:pPr>
      <w:spacing w:after="0" w:line="240" w:lineRule="auto"/>
      <w:contextualSpacing/>
      <w:jc w:val="center"/>
    </w:pPr>
    <w:rPr>
      <w:rFonts w:eastAsiaTheme="majorEastAsia" w:cstheme="majorBidi"/>
      <w:b/>
      <w:spacing w:val="-10"/>
      <w:kern w:val="28"/>
      <w:sz w:val="56"/>
      <w:szCs w:val="56"/>
    </w:rPr>
  </w:style>
  <w:style w:type="character" w:customStyle="1" w:styleId="NzovChar">
    <w:name w:val="Názov Char"/>
    <w:basedOn w:val="Predvolenpsmoodseku"/>
    <w:link w:val="Nzov"/>
    <w:uiPriority w:val="10"/>
    <w:rsid w:val="00941683"/>
    <w:rPr>
      <w:rFonts w:ascii="Arial Narrow" w:eastAsiaTheme="majorEastAsia" w:hAnsi="Arial Narrow" w:cstheme="majorBidi"/>
      <w:b/>
      <w:spacing w:val="-10"/>
      <w:kern w:val="28"/>
      <w:sz w:val="56"/>
      <w:szCs w:val="56"/>
    </w:rPr>
  </w:style>
  <w:style w:type="paragraph" w:styleId="Hlavikaobsahu">
    <w:name w:val="TOC Heading"/>
    <w:basedOn w:val="Nadpis1"/>
    <w:next w:val="Normlny"/>
    <w:uiPriority w:val="39"/>
    <w:unhideWhenUsed/>
    <w:qFormat/>
    <w:rsid w:val="00941683"/>
    <w:pPr>
      <w:pageBreakBefore w:val="0"/>
      <w:numPr>
        <w:numId w:val="0"/>
      </w:numPr>
      <w:spacing w:line="259" w:lineRule="auto"/>
      <w:jc w:val="left"/>
      <w:outlineLvl w:val="9"/>
    </w:pPr>
    <w:rPr>
      <w:rFonts w:asciiTheme="majorHAnsi" w:hAnsiTheme="majorHAnsi"/>
      <w:lang w:val="en-US"/>
    </w:rPr>
  </w:style>
  <w:style w:type="paragraph" w:styleId="Obsah2">
    <w:name w:val="toc 2"/>
    <w:basedOn w:val="Normlny"/>
    <w:next w:val="Normlny"/>
    <w:autoRedefine/>
    <w:uiPriority w:val="39"/>
    <w:unhideWhenUsed/>
    <w:rsid w:val="00941683"/>
    <w:pPr>
      <w:spacing w:after="100"/>
      <w:ind w:left="220"/>
    </w:pPr>
  </w:style>
  <w:style w:type="paragraph" w:styleId="Obsah3">
    <w:name w:val="toc 3"/>
    <w:basedOn w:val="Normlny"/>
    <w:next w:val="Normlny"/>
    <w:autoRedefine/>
    <w:uiPriority w:val="39"/>
    <w:unhideWhenUsed/>
    <w:rsid w:val="00941683"/>
    <w:pPr>
      <w:spacing w:after="100"/>
      <w:ind w:left="440"/>
    </w:pPr>
  </w:style>
  <w:style w:type="character" w:styleId="Hypertextovprepojenie">
    <w:name w:val="Hyperlink"/>
    <w:basedOn w:val="Predvolenpsmoodseku"/>
    <w:uiPriority w:val="99"/>
    <w:unhideWhenUsed/>
    <w:rsid w:val="00941683"/>
    <w:rPr>
      <w:color w:val="0563C1" w:themeColor="hyperlink"/>
      <w:u w:val="single"/>
    </w:rPr>
  </w:style>
  <w:style w:type="paragraph" w:styleId="Obsah1">
    <w:name w:val="toc 1"/>
    <w:basedOn w:val="Normlny"/>
    <w:next w:val="Normlny"/>
    <w:autoRedefine/>
    <w:uiPriority w:val="39"/>
    <w:unhideWhenUsed/>
    <w:rsid w:val="00941683"/>
    <w:pPr>
      <w:spacing w:after="100"/>
    </w:pPr>
  </w:style>
  <w:style w:type="paragraph" w:styleId="Zoznamobrzkov">
    <w:name w:val="table of figures"/>
    <w:basedOn w:val="Normlny"/>
    <w:next w:val="Normlny"/>
    <w:uiPriority w:val="99"/>
    <w:rsid w:val="00941683"/>
    <w:pPr>
      <w:spacing w:after="0"/>
    </w:pPr>
  </w:style>
  <w:style w:type="character" w:styleId="Odkaznakomentr">
    <w:name w:val="annotation reference"/>
    <w:basedOn w:val="Predvolenpsmoodseku"/>
    <w:uiPriority w:val="99"/>
    <w:semiHidden/>
    <w:unhideWhenUsed/>
    <w:rsid w:val="00973003"/>
    <w:rPr>
      <w:sz w:val="16"/>
      <w:szCs w:val="16"/>
    </w:rPr>
  </w:style>
  <w:style w:type="paragraph" w:styleId="Textkomentra">
    <w:name w:val="annotation text"/>
    <w:basedOn w:val="Normlny"/>
    <w:link w:val="TextkomentraChar"/>
    <w:uiPriority w:val="99"/>
    <w:semiHidden/>
    <w:unhideWhenUsed/>
    <w:rsid w:val="00973003"/>
    <w:pPr>
      <w:spacing w:line="240" w:lineRule="auto"/>
    </w:pPr>
    <w:rPr>
      <w:sz w:val="20"/>
      <w:szCs w:val="20"/>
    </w:rPr>
  </w:style>
  <w:style w:type="character" w:customStyle="1" w:styleId="TextkomentraChar">
    <w:name w:val="Text komentára Char"/>
    <w:basedOn w:val="Predvolenpsmoodseku"/>
    <w:link w:val="Textkomentra"/>
    <w:uiPriority w:val="99"/>
    <w:semiHidden/>
    <w:rsid w:val="00973003"/>
    <w:rPr>
      <w:rFonts w:ascii="Arial Narrow" w:eastAsia="Times New Roman" w:hAnsi="Arial Narrow" w:cs="Times New Roman"/>
      <w:sz w:val="20"/>
      <w:szCs w:val="20"/>
    </w:rPr>
  </w:style>
  <w:style w:type="paragraph" w:styleId="Predmetkomentra">
    <w:name w:val="annotation subject"/>
    <w:basedOn w:val="Textkomentra"/>
    <w:next w:val="Textkomentra"/>
    <w:link w:val="PredmetkomentraChar"/>
    <w:uiPriority w:val="99"/>
    <w:semiHidden/>
    <w:unhideWhenUsed/>
    <w:rsid w:val="00973003"/>
    <w:rPr>
      <w:b/>
      <w:bCs/>
    </w:rPr>
  </w:style>
  <w:style w:type="character" w:customStyle="1" w:styleId="PredmetkomentraChar">
    <w:name w:val="Predmet komentára Char"/>
    <w:basedOn w:val="TextkomentraChar"/>
    <w:link w:val="Predmetkomentra"/>
    <w:uiPriority w:val="99"/>
    <w:semiHidden/>
    <w:rsid w:val="00973003"/>
    <w:rPr>
      <w:rFonts w:ascii="Arial Narrow" w:eastAsia="Times New Roman" w:hAnsi="Arial Narrow" w:cs="Times New Roman"/>
      <w:b/>
      <w:bCs/>
      <w:sz w:val="20"/>
      <w:szCs w:val="20"/>
    </w:rPr>
  </w:style>
  <w:style w:type="paragraph" w:styleId="Textbubliny">
    <w:name w:val="Balloon Text"/>
    <w:basedOn w:val="Normlny"/>
    <w:link w:val="TextbublinyChar"/>
    <w:uiPriority w:val="99"/>
    <w:semiHidden/>
    <w:unhideWhenUsed/>
    <w:rsid w:val="009730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73003"/>
    <w:rPr>
      <w:rFonts w:ascii="Segoe UI" w:eastAsia="Times New Roman" w:hAnsi="Segoe UI" w:cs="Segoe UI"/>
      <w:sz w:val="18"/>
      <w:szCs w:val="18"/>
    </w:rPr>
  </w:style>
  <w:style w:type="table" w:styleId="Mriekatabuky">
    <w:name w:val="Table Grid"/>
    <w:basedOn w:val="Normlnatabuka"/>
    <w:uiPriority w:val="39"/>
    <w:rsid w:val="00BE2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54157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4157B"/>
    <w:rPr>
      <w:rFonts w:ascii="Arial Narrow" w:eastAsia="Times New Roman" w:hAnsi="Arial Narrow" w:cs="Times New Roman"/>
      <w:sz w:val="20"/>
      <w:szCs w:val="20"/>
    </w:rPr>
  </w:style>
  <w:style w:type="character" w:styleId="Odkaznapoznmkupodiarou">
    <w:name w:val="footnote reference"/>
    <w:basedOn w:val="Predvolenpsmoodseku"/>
    <w:uiPriority w:val="99"/>
    <w:semiHidden/>
    <w:unhideWhenUsed/>
    <w:rsid w:val="0054157B"/>
    <w:rPr>
      <w:vertAlign w:val="superscript"/>
    </w:rPr>
  </w:style>
  <w:style w:type="paragraph" w:styleId="Hlavika">
    <w:name w:val="header"/>
    <w:basedOn w:val="Normlny"/>
    <w:link w:val="HlavikaChar"/>
    <w:uiPriority w:val="99"/>
    <w:unhideWhenUsed/>
    <w:rsid w:val="00FF70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F70E6"/>
    <w:rPr>
      <w:rFonts w:ascii="Arial Narrow" w:eastAsia="Times New Roman" w:hAnsi="Arial Narrow" w:cs="Times New Roman"/>
      <w:szCs w:val="36"/>
    </w:rPr>
  </w:style>
  <w:style w:type="paragraph" w:styleId="Pta">
    <w:name w:val="footer"/>
    <w:basedOn w:val="Normlny"/>
    <w:link w:val="PtaChar"/>
    <w:uiPriority w:val="99"/>
    <w:unhideWhenUsed/>
    <w:rsid w:val="00FF70E6"/>
    <w:pPr>
      <w:tabs>
        <w:tab w:val="center" w:pos="4536"/>
        <w:tab w:val="right" w:pos="9072"/>
      </w:tabs>
      <w:spacing w:after="0" w:line="240" w:lineRule="auto"/>
    </w:pPr>
  </w:style>
  <w:style w:type="character" w:customStyle="1" w:styleId="PtaChar">
    <w:name w:val="Päta Char"/>
    <w:basedOn w:val="Predvolenpsmoodseku"/>
    <w:link w:val="Pta"/>
    <w:uiPriority w:val="99"/>
    <w:rsid w:val="00FF70E6"/>
    <w:rPr>
      <w:rFonts w:ascii="Arial Narrow" w:eastAsia="Times New Roman" w:hAnsi="Arial Narrow" w:cs="Times New Roman"/>
      <w:szCs w:val="36"/>
    </w:rPr>
  </w:style>
  <w:style w:type="paragraph" w:styleId="Odsekzoznamu">
    <w:name w:val="List Paragraph"/>
    <w:basedOn w:val="Normlny"/>
    <w:uiPriority w:val="34"/>
    <w:qFormat/>
    <w:rsid w:val="00584CAA"/>
    <w:pPr>
      <w:ind w:left="720"/>
      <w:contextualSpacing/>
    </w:pPr>
  </w:style>
  <w:style w:type="table" w:customStyle="1" w:styleId="ListTable1Light-Accent31">
    <w:name w:val="List Table 1 Light - Accent 31"/>
    <w:basedOn w:val="Normlnatabuka"/>
    <w:uiPriority w:val="46"/>
    <w:rsid w:val="006A61E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31">
    <w:name w:val="Grid Table 6 Colorful - Accent 31"/>
    <w:basedOn w:val="Normlnatabuka"/>
    <w:uiPriority w:val="51"/>
    <w:rsid w:val="0046601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PCKO2">
    <w:name w:val="MP CKO 2"/>
    <w:basedOn w:val="Nadpis3"/>
    <w:qFormat/>
    <w:rsid w:val="00BE0867"/>
    <w:pPr>
      <w:numPr>
        <w:ilvl w:val="0"/>
        <w:numId w:val="0"/>
      </w:numPr>
      <w:spacing w:before="200" w:line="240" w:lineRule="auto"/>
    </w:pPr>
    <w:rPr>
      <w:rFonts w:ascii="Times New Roman" w:hAnsi="Times New Roman"/>
      <w:b/>
      <w:bCs/>
      <w:color w:val="2E74B5" w:themeColor="accent1" w:themeShade="BF"/>
      <w:sz w:val="26"/>
      <w:szCs w:val="22"/>
    </w:rPr>
  </w:style>
  <w:style w:type="paragraph" w:customStyle="1" w:styleId="MPCKO3">
    <w:name w:val="MP CKO 3"/>
    <w:basedOn w:val="Nadpis4"/>
    <w:next w:val="Normlny"/>
    <w:qFormat/>
    <w:rsid w:val="00467622"/>
    <w:pPr>
      <w:numPr>
        <w:ilvl w:val="0"/>
        <w:numId w:val="0"/>
      </w:numPr>
      <w:spacing w:before="200" w:line="240" w:lineRule="auto"/>
    </w:pPr>
    <w:rPr>
      <w:rFonts w:ascii="Times New Roman" w:hAnsi="Times New Roman"/>
      <w:b/>
      <w:bCs/>
      <w:i w:val="0"/>
      <w:sz w:val="24"/>
      <w:szCs w:val="24"/>
      <w:lang w:eastAsia="sk-SK"/>
    </w:rPr>
  </w:style>
  <w:style w:type="paragraph" w:customStyle="1" w:styleId="Point0">
    <w:name w:val="Point 0"/>
    <w:basedOn w:val="Normlny"/>
    <w:rsid w:val="009B0CCA"/>
    <w:pPr>
      <w:spacing w:before="120" w:after="120" w:line="240" w:lineRule="auto"/>
      <w:ind w:left="850" w:hanging="850"/>
    </w:pPr>
    <w:rPr>
      <w:rFonts w:ascii="Times New Roman" w:eastAsia="Calibri" w:hAnsi="Times New Roman"/>
      <w:sz w:val="24"/>
      <w:szCs w:val="22"/>
      <w:lang w:eastAsia="sk-SK"/>
    </w:rPr>
  </w:style>
  <w:style w:type="paragraph" w:customStyle="1" w:styleId="Point0number">
    <w:name w:val="Point 0 (number)"/>
    <w:basedOn w:val="Normlny"/>
    <w:rsid w:val="00542CEE"/>
    <w:pPr>
      <w:numPr>
        <w:numId w:val="10"/>
      </w:numPr>
      <w:spacing w:before="120" w:after="120" w:line="240" w:lineRule="auto"/>
    </w:pPr>
    <w:rPr>
      <w:rFonts w:ascii="Times New Roman" w:eastAsia="Calibri" w:hAnsi="Times New Roman"/>
      <w:sz w:val="24"/>
      <w:szCs w:val="22"/>
      <w:lang w:eastAsia="sk-SK"/>
    </w:rPr>
  </w:style>
  <w:style w:type="paragraph" w:customStyle="1" w:styleId="Point1number">
    <w:name w:val="Point 1 (number)"/>
    <w:basedOn w:val="Normlny"/>
    <w:rsid w:val="00542CEE"/>
    <w:pPr>
      <w:numPr>
        <w:ilvl w:val="2"/>
        <w:numId w:val="10"/>
      </w:numPr>
      <w:spacing w:before="120" w:after="120" w:line="240" w:lineRule="auto"/>
    </w:pPr>
    <w:rPr>
      <w:rFonts w:ascii="Times New Roman" w:eastAsia="Calibri" w:hAnsi="Times New Roman"/>
      <w:sz w:val="24"/>
      <w:szCs w:val="22"/>
      <w:lang w:eastAsia="sk-SK"/>
    </w:rPr>
  </w:style>
  <w:style w:type="paragraph" w:customStyle="1" w:styleId="Point2number">
    <w:name w:val="Point 2 (number)"/>
    <w:basedOn w:val="Normlny"/>
    <w:rsid w:val="00542CEE"/>
    <w:pPr>
      <w:numPr>
        <w:ilvl w:val="4"/>
        <w:numId w:val="10"/>
      </w:numPr>
      <w:spacing w:before="120" w:after="120" w:line="240" w:lineRule="auto"/>
    </w:pPr>
    <w:rPr>
      <w:rFonts w:ascii="Times New Roman" w:eastAsia="Calibri" w:hAnsi="Times New Roman"/>
      <w:sz w:val="24"/>
      <w:szCs w:val="22"/>
      <w:lang w:eastAsia="sk-SK"/>
    </w:rPr>
  </w:style>
  <w:style w:type="paragraph" w:customStyle="1" w:styleId="Point3number">
    <w:name w:val="Point 3 (number)"/>
    <w:basedOn w:val="Normlny"/>
    <w:rsid w:val="00542CEE"/>
    <w:pPr>
      <w:numPr>
        <w:ilvl w:val="6"/>
        <w:numId w:val="10"/>
      </w:numPr>
      <w:spacing w:before="120" w:after="120" w:line="240" w:lineRule="auto"/>
    </w:pPr>
    <w:rPr>
      <w:rFonts w:ascii="Times New Roman" w:eastAsia="Calibri" w:hAnsi="Times New Roman"/>
      <w:sz w:val="24"/>
      <w:szCs w:val="22"/>
      <w:lang w:eastAsia="sk-SK"/>
    </w:rPr>
  </w:style>
  <w:style w:type="paragraph" w:customStyle="1" w:styleId="Point0letter">
    <w:name w:val="Point 0 (letter)"/>
    <w:basedOn w:val="Normlny"/>
    <w:rsid w:val="00542CEE"/>
    <w:pPr>
      <w:numPr>
        <w:ilvl w:val="1"/>
        <w:numId w:val="10"/>
      </w:numPr>
      <w:spacing w:before="120" w:after="120" w:line="240" w:lineRule="auto"/>
    </w:pPr>
    <w:rPr>
      <w:rFonts w:ascii="Times New Roman" w:eastAsia="Calibri" w:hAnsi="Times New Roman"/>
      <w:sz w:val="24"/>
      <w:szCs w:val="22"/>
      <w:lang w:eastAsia="sk-SK"/>
    </w:rPr>
  </w:style>
  <w:style w:type="paragraph" w:customStyle="1" w:styleId="Point1letter">
    <w:name w:val="Point 1 (letter)"/>
    <w:basedOn w:val="Normlny"/>
    <w:rsid w:val="00542CEE"/>
    <w:pPr>
      <w:numPr>
        <w:ilvl w:val="3"/>
        <w:numId w:val="10"/>
      </w:numPr>
      <w:spacing w:before="120" w:after="120" w:line="240" w:lineRule="auto"/>
    </w:pPr>
    <w:rPr>
      <w:rFonts w:ascii="Times New Roman" w:eastAsia="Calibri" w:hAnsi="Times New Roman"/>
      <w:sz w:val="24"/>
      <w:szCs w:val="22"/>
      <w:lang w:eastAsia="sk-SK"/>
    </w:rPr>
  </w:style>
  <w:style w:type="paragraph" w:customStyle="1" w:styleId="Point2letter">
    <w:name w:val="Point 2 (letter)"/>
    <w:basedOn w:val="Normlny"/>
    <w:rsid w:val="00542CEE"/>
    <w:pPr>
      <w:numPr>
        <w:ilvl w:val="5"/>
        <w:numId w:val="10"/>
      </w:numPr>
      <w:spacing w:before="120" w:after="120" w:line="240" w:lineRule="auto"/>
    </w:pPr>
    <w:rPr>
      <w:rFonts w:ascii="Times New Roman" w:eastAsia="Calibri" w:hAnsi="Times New Roman"/>
      <w:sz w:val="24"/>
      <w:szCs w:val="22"/>
      <w:lang w:eastAsia="sk-SK"/>
    </w:rPr>
  </w:style>
  <w:style w:type="paragraph" w:customStyle="1" w:styleId="Point3letter">
    <w:name w:val="Point 3 (letter)"/>
    <w:basedOn w:val="Normlny"/>
    <w:rsid w:val="00542CEE"/>
    <w:pPr>
      <w:numPr>
        <w:ilvl w:val="7"/>
        <w:numId w:val="10"/>
      </w:numPr>
      <w:spacing w:before="120" w:after="120" w:line="240" w:lineRule="auto"/>
    </w:pPr>
    <w:rPr>
      <w:rFonts w:ascii="Times New Roman" w:eastAsia="Calibri" w:hAnsi="Times New Roman"/>
      <w:sz w:val="24"/>
      <w:szCs w:val="22"/>
      <w:lang w:eastAsia="sk-SK"/>
    </w:rPr>
  </w:style>
  <w:style w:type="paragraph" w:customStyle="1" w:styleId="Point4letter">
    <w:name w:val="Point 4 (letter)"/>
    <w:basedOn w:val="Normlny"/>
    <w:rsid w:val="00542CEE"/>
    <w:pPr>
      <w:numPr>
        <w:ilvl w:val="8"/>
        <w:numId w:val="10"/>
      </w:numPr>
      <w:spacing w:before="120" w:after="120" w:line="240" w:lineRule="auto"/>
    </w:pPr>
    <w:rPr>
      <w:rFonts w:ascii="Times New Roman" w:eastAsia="Calibri" w:hAnsi="Times New Roman"/>
      <w:sz w:val="24"/>
      <w:szCs w:val="22"/>
      <w:lang w:eastAsia="sk-SK"/>
    </w:rPr>
  </w:style>
  <w:style w:type="paragraph" w:customStyle="1" w:styleId="Tiret1">
    <w:name w:val="Tiret 1"/>
    <w:basedOn w:val="Normlny"/>
    <w:rsid w:val="00A43CFD"/>
    <w:pPr>
      <w:numPr>
        <w:numId w:val="16"/>
      </w:numPr>
      <w:spacing w:before="120" w:after="120" w:line="240" w:lineRule="auto"/>
    </w:pPr>
    <w:rPr>
      <w:rFonts w:ascii="Times New Roman" w:eastAsia="Calibri" w:hAnsi="Times New Roman"/>
      <w:sz w:val="24"/>
      <w:szCs w:val="22"/>
      <w:lang w:eastAsia="sk-SK"/>
    </w:rPr>
  </w:style>
  <w:style w:type="paragraph" w:customStyle="1" w:styleId="Bullet0">
    <w:name w:val="Bullet 0"/>
    <w:basedOn w:val="Normlny"/>
    <w:rsid w:val="00A43CFD"/>
    <w:pPr>
      <w:numPr>
        <w:numId w:val="17"/>
      </w:numPr>
      <w:spacing w:before="120" w:after="120" w:line="240" w:lineRule="auto"/>
    </w:pPr>
    <w:rPr>
      <w:rFonts w:ascii="Times New Roman" w:eastAsia="Calibri" w:hAnsi="Times New Roman"/>
      <w:sz w:val="24"/>
      <w:szCs w:val="22"/>
      <w:lang w:eastAsia="sk-SK"/>
    </w:rPr>
  </w:style>
  <w:style w:type="paragraph" w:styleId="Zoznamsodrkami2">
    <w:name w:val="List Bullet 2"/>
    <w:basedOn w:val="Zoznamsodrkami"/>
    <w:rsid w:val="00152941"/>
    <w:pPr>
      <w:numPr>
        <w:numId w:val="18"/>
      </w:numPr>
      <w:tabs>
        <w:tab w:val="clear" w:pos="680"/>
      </w:tabs>
      <w:spacing w:before="130" w:after="130" w:line="240" w:lineRule="auto"/>
      <w:ind w:left="432" w:hanging="432"/>
      <w:contextualSpacing w:val="0"/>
    </w:pPr>
    <w:rPr>
      <w:rFonts w:ascii="Times New Roman" w:hAnsi="Times New Roman"/>
      <w:szCs w:val="20"/>
    </w:rPr>
  </w:style>
  <w:style w:type="paragraph" w:styleId="Normlnywebov">
    <w:name w:val="Normal (Web)"/>
    <w:basedOn w:val="Normlny"/>
    <w:uiPriority w:val="99"/>
    <w:unhideWhenUsed/>
    <w:rsid w:val="00152941"/>
    <w:pPr>
      <w:spacing w:before="100" w:beforeAutospacing="1" w:after="100" w:afterAutospacing="1" w:line="240" w:lineRule="auto"/>
      <w:jc w:val="left"/>
    </w:pPr>
    <w:rPr>
      <w:rFonts w:ascii="Times New Roman" w:hAnsi="Times New Roman"/>
      <w:sz w:val="24"/>
      <w:szCs w:val="24"/>
      <w:lang w:eastAsia="sk-SK"/>
    </w:rPr>
  </w:style>
  <w:style w:type="paragraph" w:styleId="Zoznamsodrkami">
    <w:name w:val="List Bullet"/>
    <w:basedOn w:val="Normlny"/>
    <w:uiPriority w:val="99"/>
    <w:semiHidden/>
    <w:unhideWhenUsed/>
    <w:rsid w:val="00152941"/>
    <w:pPr>
      <w:numPr>
        <w:numId w:val="1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41683"/>
    <w:pPr>
      <w:spacing w:after="200" w:line="276" w:lineRule="auto"/>
      <w:jc w:val="both"/>
    </w:pPr>
    <w:rPr>
      <w:rFonts w:ascii="Arial Narrow" w:eastAsia="Times New Roman" w:hAnsi="Arial Narrow" w:cs="Times New Roman"/>
      <w:szCs w:val="36"/>
    </w:rPr>
  </w:style>
  <w:style w:type="paragraph" w:styleId="Nadpis1">
    <w:name w:val="heading 1"/>
    <w:aliases w:val="0Überschrift 1,1Überschrift 1,2Überschrift 1,3Übersch"/>
    <w:basedOn w:val="Normlny"/>
    <w:next w:val="Normlny"/>
    <w:link w:val="Nadpis1Char"/>
    <w:qFormat/>
    <w:rsid w:val="00941683"/>
    <w:pPr>
      <w:keepNext/>
      <w:keepLines/>
      <w:pageBreakBefore/>
      <w:numPr>
        <w:numId w:val="1"/>
      </w:numPr>
      <w:spacing w:before="240" w:after="0"/>
      <w:outlineLvl w:val="0"/>
    </w:pPr>
    <w:rPr>
      <w:rFonts w:eastAsiaTheme="majorEastAsia" w:cstheme="majorBidi"/>
      <w:color w:val="2E74B5" w:themeColor="accent1" w:themeShade="BF"/>
      <w:sz w:val="32"/>
      <w:szCs w:val="32"/>
    </w:rPr>
  </w:style>
  <w:style w:type="paragraph" w:styleId="Nadpis2">
    <w:name w:val="heading 2"/>
    <w:aliases w:val="Chapter,1.Seite,Sub Heading,H2,Heading 2rh,Prophead 2"/>
    <w:basedOn w:val="Normlny"/>
    <w:next w:val="Normlny"/>
    <w:link w:val="Nadpis2Char"/>
    <w:unhideWhenUsed/>
    <w:qFormat/>
    <w:rsid w:val="00941683"/>
    <w:pPr>
      <w:keepNext/>
      <w:keepLines/>
      <w:numPr>
        <w:ilvl w:val="1"/>
        <w:numId w:val="1"/>
      </w:numPr>
      <w:spacing w:before="40" w:after="0"/>
      <w:outlineLvl w:val="1"/>
    </w:pPr>
    <w:rPr>
      <w:rFonts w:eastAsiaTheme="majorEastAsia" w:cstheme="majorBidi"/>
      <w:color w:val="2E74B5" w:themeColor="accent1" w:themeShade="BF"/>
      <w:sz w:val="28"/>
      <w:szCs w:val="26"/>
    </w:rPr>
  </w:style>
  <w:style w:type="paragraph" w:styleId="Nadpis3">
    <w:name w:val="heading 3"/>
    <w:aliases w:val="H3,3,ASAPHeading 3,h3,sub-sub,sub section header,subs"/>
    <w:basedOn w:val="Normlny"/>
    <w:next w:val="Normlny"/>
    <w:link w:val="Nadpis3Char"/>
    <w:unhideWhenUsed/>
    <w:qFormat/>
    <w:rsid w:val="00941683"/>
    <w:pPr>
      <w:keepNext/>
      <w:keepLines/>
      <w:numPr>
        <w:ilvl w:val="2"/>
        <w:numId w:val="1"/>
      </w:numPr>
      <w:spacing w:before="40" w:after="0"/>
      <w:outlineLvl w:val="2"/>
    </w:pPr>
    <w:rPr>
      <w:rFonts w:eastAsiaTheme="majorEastAsia" w:cstheme="majorBidi"/>
      <w:color w:val="1F4D78" w:themeColor="accent1" w:themeShade="7F"/>
      <w:sz w:val="24"/>
      <w:szCs w:val="24"/>
    </w:rPr>
  </w:style>
  <w:style w:type="paragraph" w:styleId="Nadpis4">
    <w:name w:val="heading 4"/>
    <w:aliases w:val="Level 2 - a Char,Bullet 1 Char,h4 Char,Sub-Minor"/>
    <w:basedOn w:val="Normlny"/>
    <w:next w:val="Normlny"/>
    <w:link w:val="Nadpis4Char"/>
    <w:unhideWhenUsed/>
    <w:qFormat/>
    <w:rsid w:val="0094168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nhideWhenUsed/>
    <w:qFormat/>
    <w:rsid w:val="0094168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nhideWhenUsed/>
    <w:qFormat/>
    <w:rsid w:val="0094168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nhideWhenUsed/>
    <w:qFormat/>
    <w:rsid w:val="0094168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nhideWhenUsed/>
    <w:qFormat/>
    <w:rsid w:val="009416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nhideWhenUsed/>
    <w:qFormat/>
    <w:rsid w:val="009416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0Überschrift 1 Char,1Überschrift 1 Char,2Überschrift 1 Char,3Übersch Char"/>
    <w:basedOn w:val="Predvolenpsmoodseku"/>
    <w:link w:val="Nadpis1"/>
    <w:rsid w:val="00941683"/>
    <w:rPr>
      <w:rFonts w:ascii="Arial Narrow" w:eastAsiaTheme="majorEastAsia" w:hAnsi="Arial Narrow" w:cstheme="majorBidi"/>
      <w:color w:val="2E74B5" w:themeColor="accent1" w:themeShade="BF"/>
      <w:sz w:val="32"/>
      <w:szCs w:val="32"/>
    </w:rPr>
  </w:style>
  <w:style w:type="character" w:customStyle="1" w:styleId="Nadpis2Char">
    <w:name w:val="Nadpis 2 Char"/>
    <w:aliases w:val="Chapter Char,1.Seite Char,Sub Heading Char,H2 Char,Heading 2rh Char,Prophead 2 Char"/>
    <w:basedOn w:val="Predvolenpsmoodseku"/>
    <w:link w:val="Nadpis2"/>
    <w:rsid w:val="00941683"/>
    <w:rPr>
      <w:rFonts w:ascii="Arial Narrow" w:eastAsiaTheme="majorEastAsia" w:hAnsi="Arial Narrow" w:cstheme="majorBidi"/>
      <w:color w:val="2E74B5" w:themeColor="accent1" w:themeShade="BF"/>
      <w:sz w:val="28"/>
      <w:szCs w:val="26"/>
    </w:rPr>
  </w:style>
  <w:style w:type="character" w:customStyle="1" w:styleId="Nadpis3Char">
    <w:name w:val="Nadpis 3 Char"/>
    <w:aliases w:val="H3 Char,3 Char,ASAPHeading 3 Char,h3 Char,sub-sub Char,sub section header Char,subs Char"/>
    <w:basedOn w:val="Predvolenpsmoodseku"/>
    <w:link w:val="Nadpis3"/>
    <w:rsid w:val="00941683"/>
    <w:rPr>
      <w:rFonts w:ascii="Arial Narrow" w:eastAsiaTheme="majorEastAsia" w:hAnsi="Arial Narrow" w:cstheme="majorBidi"/>
      <w:color w:val="1F4D78" w:themeColor="accent1" w:themeShade="7F"/>
      <w:sz w:val="24"/>
      <w:szCs w:val="24"/>
    </w:rPr>
  </w:style>
  <w:style w:type="character" w:customStyle="1" w:styleId="Nadpis4Char">
    <w:name w:val="Nadpis 4 Char"/>
    <w:aliases w:val="Level 2 - a Char Char,Bullet 1 Char Char,h4 Char Char,Sub-Minor Char"/>
    <w:basedOn w:val="Predvolenpsmoodseku"/>
    <w:link w:val="Nadpis4"/>
    <w:rsid w:val="00941683"/>
    <w:rPr>
      <w:rFonts w:asciiTheme="majorHAnsi" w:eastAsiaTheme="majorEastAsia" w:hAnsiTheme="majorHAnsi" w:cstheme="majorBidi"/>
      <w:i/>
      <w:iCs/>
      <w:color w:val="2E74B5" w:themeColor="accent1" w:themeShade="BF"/>
      <w:szCs w:val="36"/>
    </w:rPr>
  </w:style>
  <w:style w:type="character" w:customStyle="1" w:styleId="Nadpis5Char">
    <w:name w:val="Nadpis 5 Char"/>
    <w:basedOn w:val="Predvolenpsmoodseku"/>
    <w:link w:val="Nadpis5"/>
    <w:rsid w:val="00941683"/>
    <w:rPr>
      <w:rFonts w:asciiTheme="majorHAnsi" w:eastAsiaTheme="majorEastAsia" w:hAnsiTheme="majorHAnsi" w:cstheme="majorBidi"/>
      <w:color w:val="2E74B5" w:themeColor="accent1" w:themeShade="BF"/>
      <w:szCs w:val="36"/>
    </w:rPr>
  </w:style>
  <w:style w:type="character" w:customStyle="1" w:styleId="Nadpis6Char">
    <w:name w:val="Nadpis 6 Char"/>
    <w:basedOn w:val="Predvolenpsmoodseku"/>
    <w:link w:val="Nadpis6"/>
    <w:rsid w:val="00941683"/>
    <w:rPr>
      <w:rFonts w:asciiTheme="majorHAnsi" w:eastAsiaTheme="majorEastAsia" w:hAnsiTheme="majorHAnsi" w:cstheme="majorBidi"/>
      <w:color w:val="1F4D78" w:themeColor="accent1" w:themeShade="7F"/>
      <w:szCs w:val="36"/>
    </w:rPr>
  </w:style>
  <w:style w:type="character" w:customStyle="1" w:styleId="Nadpis7Char">
    <w:name w:val="Nadpis 7 Char"/>
    <w:basedOn w:val="Predvolenpsmoodseku"/>
    <w:link w:val="Nadpis7"/>
    <w:rsid w:val="00941683"/>
    <w:rPr>
      <w:rFonts w:asciiTheme="majorHAnsi" w:eastAsiaTheme="majorEastAsia" w:hAnsiTheme="majorHAnsi" w:cstheme="majorBidi"/>
      <w:i/>
      <w:iCs/>
      <w:color w:val="1F4D78" w:themeColor="accent1" w:themeShade="7F"/>
      <w:szCs w:val="36"/>
    </w:rPr>
  </w:style>
  <w:style w:type="character" w:customStyle="1" w:styleId="Nadpis8Char">
    <w:name w:val="Nadpis 8 Char"/>
    <w:basedOn w:val="Predvolenpsmoodseku"/>
    <w:link w:val="Nadpis8"/>
    <w:rsid w:val="00941683"/>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rsid w:val="00941683"/>
    <w:rPr>
      <w:rFonts w:asciiTheme="majorHAnsi" w:eastAsiaTheme="majorEastAsia" w:hAnsiTheme="majorHAnsi" w:cstheme="majorBidi"/>
      <w:i/>
      <w:iCs/>
      <w:color w:val="272727" w:themeColor="text1" w:themeTint="D8"/>
      <w:sz w:val="21"/>
      <w:szCs w:val="21"/>
    </w:rPr>
  </w:style>
  <w:style w:type="paragraph" w:styleId="Popis">
    <w:name w:val="caption"/>
    <w:basedOn w:val="Normlny"/>
    <w:next w:val="Normlny"/>
    <w:unhideWhenUsed/>
    <w:qFormat/>
    <w:rsid w:val="00941683"/>
    <w:pPr>
      <w:spacing w:line="240" w:lineRule="auto"/>
      <w:jc w:val="center"/>
    </w:pPr>
    <w:rPr>
      <w:i/>
      <w:iCs/>
      <w:color w:val="44546A" w:themeColor="text2"/>
      <w:sz w:val="18"/>
      <w:szCs w:val="18"/>
    </w:rPr>
  </w:style>
  <w:style w:type="paragraph" w:styleId="Zkladntext">
    <w:name w:val="Body Text"/>
    <w:aliases w:val=" Char,b,heading3,Body Text - Level 2,Char"/>
    <w:basedOn w:val="Normlny"/>
    <w:link w:val="ZkladntextChar"/>
    <w:rsid w:val="00941683"/>
    <w:pPr>
      <w:spacing w:before="130" w:after="130" w:line="240" w:lineRule="auto"/>
    </w:pPr>
    <w:rPr>
      <w:szCs w:val="20"/>
    </w:rPr>
  </w:style>
  <w:style w:type="character" w:customStyle="1" w:styleId="ZkladntextChar">
    <w:name w:val="Základný text Char"/>
    <w:aliases w:val=" Char Char,b Char,heading3 Char,Body Text - Level 2 Char,Char Char"/>
    <w:basedOn w:val="Predvolenpsmoodseku"/>
    <w:link w:val="Zkladntext"/>
    <w:rsid w:val="00941683"/>
    <w:rPr>
      <w:rFonts w:ascii="Arial Narrow" w:eastAsia="Times New Roman" w:hAnsi="Arial Narrow" w:cs="Times New Roman"/>
      <w:szCs w:val="20"/>
    </w:rPr>
  </w:style>
  <w:style w:type="character" w:styleId="Textzstupnhosymbolu">
    <w:name w:val="Placeholder Text"/>
    <w:basedOn w:val="Predvolenpsmoodseku"/>
    <w:uiPriority w:val="99"/>
    <w:semiHidden/>
    <w:rsid w:val="00941683"/>
    <w:rPr>
      <w:color w:val="808080"/>
    </w:rPr>
  </w:style>
  <w:style w:type="paragraph" w:styleId="Nzov">
    <w:name w:val="Title"/>
    <w:basedOn w:val="Normlny"/>
    <w:next w:val="Normlny"/>
    <w:link w:val="NzovChar"/>
    <w:uiPriority w:val="10"/>
    <w:qFormat/>
    <w:rsid w:val="00941683"/>
    <w:pPr>
      <w:spacing w:after="0" w:line="240" w:lineRule="auto"/>
      <w:contextualSpacing/>
      <w:jc w:val="center"/>
    </w:pPr>
    <w:rPr>
      <w:rFonts w:eastAsiaTheme="majorEastAsia" w:cstheme="majorBidi"/>
      <w:b/>
      <w:spacing w:val="-10"/>
      <w:kern w:val="28"/>
      <w:sz w:val="56"/>
      <w:szCs w:val="56"/>
    </w:rPr>
  </w:style>
  <w:style w:type="character" w:customStyle="1" w:styleId="NzovChar">
    <w:name w:val="Názov Char"/>
    <w:basedOn w:val="Predvolenpsmoodseku"/>
    <w:link w:val="Nzov"/>
    <w:uiPriority w:val="10"/>
    <w:rsid w:val="00941683"/>
    <w:rPr>
      <w:rFonts w:ascii="Arial Narrow" w:eastAsiaTheme="majorEastAsia" w:hAnsi="Arial Narrow" w:cstheme="majorBidi"/>
      <w:b/>
      <w:spacing w:val="-10"/>
      <w:kern w:val="28"/>
      <w:sz w:val="56"/>
      <w:szCs w:val="56"/>
    </w:rPr>
  </w:style>
  <w:style w:type="paragraph" w:styleId="Hlavikaobsahu">
    <w:name w:val="TOC Heading"/>
    <w:basedOn w:val="Nadpis1"/>
    <w:next w:val="Normlny"/>
    <w:uiPriority w:val="39"/>
    <w:unhideWhenUsed/>
    <w:qFormat/>
    <w:rsid w:val="00941683"/>
    <w:pPr>
      <w:pageBreakBefore w:val="0"/>
      <w:numPr>
        <w:numId w:val="0"/>
      </w:numPr>
      <w:spacing w:line="259" w:lineRule="auto"/>
      <w:jc w:val="left"/>
      <w:outlineLvl w:val="9"/>
    </w:pPr>
    <w:rPr>
      <w:rFonts w:asciiTheme="majorHAnsi" w:hAnsiTheme="majorHAnsi"/>
      <w:lang w:val="en-US"/>
    </w:rPr>
  </w:style>
  <w:style w:type="paragraph" w:styleId="Obsah2">
    <w:name w:val="toc 2"/>
    <w:basedOn w:val="Normlny"/>
    <w:next w:val="Normlny"/>
    <w:autoRedefine/>
    <w:uiPriority w:val="39"/>
    <w:unhideWhenUsed/>
    <w:rsid w:val="00941683"/>
    <w:pPr>
      <w:spacing w:after="100"/>
      <w:ind w:left="220"/>
    </w:pPr>
  </w:style>
  <w:style w:type="paragraph" w:styleId="Obsah3">
    <w:name w:val="toc 3"/>
    <w:basedOn w:val="Normlny"/>
    <w:next w:val="Normlny"/>
    <w:autoRedefine/>
    <w:uiPriority w:val="39"/>
    <w:unhideWhenUsed/>
    <w:rsid w:val="00941683"/>
    <w:pPr>
      <w:spacing w:after="100"/>
      <w:ind w:left="440"/>
    </w:pPr>
  </w:style>
  <w:style w:type="character" w:styleId="Hypertextovprepojenie">
    <w:name w:val="Hyperlink"/>
    <w:basedOn w:val="Predvolenpsmoodseku"/>
    <w:uiPriority w:val="99"/>
    <w:unhideWhenUsed/>
    <w:rsid w:val="00941683"/>
    <w:rPr>
      <w:color w:val="0563C1" w:themeColor="hyperlink"/>
      <w:u w:val="single"/>
    </w:rPr>
  </w:style>
  <w:style w:type="paragraph" w:styleId="Obsah1">
    <w:name w:val="toc 1"/>
    <w:basedOn w:val="Normlny"/>
    <w:next w:val="Normlny"/>
    <w:autoRedefine/>
    <w:uiPriority w:val="39"/>
    <w:unhideWhenUsed/>
    <w:rsid w:val="00941683"/>
    <w:pPr>
      <w:spacing w:after="100"/>
    </w:pPr>
  </w:style>
  <w:style w:type="paragraph" w:styleId="Zoznamobrzkov">
    <w:name w:val="table of figures"/>
    <w:basedOn w:val="Normlny"/>
    <w:next w:val="Normlny"/>
    <w:uiPriority w:val="99"/>
    <w:rsid w:val="00941683"/>
    <w:pPr>
      <w:spacing w:after="0"/>
    </w:pPr>
  </w:style>
  <w:style w:type="character" w:styleId="Odkaznakomentr">
    <w:name w:val="annotation reference"/>
    <w:basedOn w:val="Predvolenpsmoodseku"/>
    <w:uiPriority w:val="99"/>
    <w:semiHidden/>
    <w:unhideWhenUsed/>
    <w:rsid w:val="00973003"/>
    <w:rPr>
      <w:sz w:val="16"/>
      <w:szCs w:val="16"/>
    </w:rPr>
  </w:style>
  <w:style w:type="paragraph" w:styleId="Textkomentra">
    <w:name w:val="annotation text"/>
    <w:basedOn w:val="Normlny"/>
    <w:link w:val="TextkomentraChar"/>
    <w:uiPriority w:val="99"/>
    <w:semiHidden/>
    <w:unhideWhenUsed/>
    <w:rsid w:val="00973003"/>
    <w:pPr>
      <w:spacing w:line="240" w:lineRule="auto"/>
    </w:pPr>
    <w:rPr>
      <w:sz w:val="20"/>
      <w:szCs w:val="20"/>
    </w:rPr>
  </w:style>
  <w:style w:type="character" w:customStyle="1" w:styleId="TextkomentraChar">
    <w:name w:val="Text komentára Char"/>
    <w:basedOn w:val="Predvolenpsmoodseku"/>
    <w:link w:val="Textkomentra"/>
    <w:uiPriority w:val="99"/>
    <w:semiHidden/>
    <w:rsid w:val="00973003"/>
    <w:rPr>
      <w:rFonts w:ascii="Arial Narrow" w:eastAsia="Times New Roman" w:hAnsi="Arial Narrow" w:cs="Times New Roman"/>
      <w:sz w:val="20"/>
      <w:szCs w:val="20"/>
    </w:rPr>
  </w:style>
  <w:style w:type="paragraph" w:styleId="Predmetkomentra">
    <w:name w:val="annotation subject"/>
    <w:basedOn w:val="Textkomentra"/>
    <w:next w:val="Textkomentra"/>
    <w:link w:val="PredmetkomentraChar"/>
    <w:uiPriority w:val="99"/>
    <w:semiHidden/>
    <w:unhideWhenUsed/>
    <w:rsid w:val="00973003"/>
    <w:rPr>
      <w:b/>
      <w:bCs/>
    </w:rPr>
  </w:style>
  <w:style w:type="character" w:customStyle="1" w:styleId="PredmetkomentraChar">
    <w:name w:val="Predmet komentára Char"/>
    <w:basedOn w:val="TextkomentraChar"/>
    <w:link w:val="Predmetkomentra"/>
    <w:uiPriority w:val="99"/>
    <w:semiHidden/>
    <w:rsid w:val="00973003"/>
    <w:rPr>
      <w:rFonts w:ascii="Arial Narrow" w:eastAsia="Times New Roman" w:hAnsi="Arial Narrow" w:cs="Times New Roman"/>
      <w:b/>
      <w:bCs/>
      <w:sz w:val="20"/>
      <w:szCs w:val="20"/>
    </w:rPr>
  </w:style>
  <w:style w:type="paragraph" w:styleId="Textbubliny">
    <w:name w:val="Balloon Text"/>
    <w:basedOn w:val="Normlny"/>
    <w:link w:val="TextbublinyChar"/>
    <w:uiPriority w:val="99"/>
    <w:semiHidden/>
    <w:unhideWhenUsed/>
    <w:rsid w:val="009730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73003"/>
    <w:rPr>
      <w:rFonts w:ascii="Segoe UI" w:eastAsia="Times New Roman" w:hAnsi="Segoe UI" w:cs="Segoe UI"/>
      <w:sz w:val="18"/>
      <w:szCs w:val="18"/>
    </w:rPr>
  </w:style>
  <w:style w:type="table" w:styleId="Mriekatabuky">
    <w:name w:val="Table Grid"/>
    <w:basedOn w:val="Normlnatabuka"/>
    <w:uiPriority w:val="39"/>
    <w:rsid w:val="00BE2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54157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4157B"/>
    <w:rPr>
      <w:rFonts w:ascii="Arial Narrow" w:eastAsia="Times New Roman" w:hAnsi="Arial Narrow" w:cs="Times New Roman"/>
      <w:sz w:val="20"/>
      <w:szCs w:val="20"/>
    </w:rPr>
  </w:style>
  <w:style w:type="character" w:styleId="Odkaznapoznmkupodiarou">
    <w:name w:val="footnote reference"/>
    <w:basedOn w:val="Predvolenpsmoodseku"/>
    <w:uiPriority w:val="99"/>
    <w:semiHidden/>
    <w:unhideWhenUsed/>
    <w:rsid w:val="0054157B"/>
    <w:rPr>
      <w:vertAlign w:val="superscript"/>
    </w:rPr>
  </w:style>
  <w:style w:type="paragraph" w:styleId="Hlavika">
    <w:name w:val="header"/>
    <w:basedOn w:val="Normlny"/>
    <w:link w:val="HlavikaChar"/>
    <w:uiPriority w:val="99"/>
    <w:unhideWhenUsed/>
    <w:rsid w:val="00FF70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F70E6"/>
    <w:rPr>
      <w:rFonts w:ascii="Arial Narrow" w:eastAsia="Times New Roman" w:hAnsi="Arial Narrow" w:cs="Times New Roman"/>
      <w:szCs w:val="36"/>
    </w:rPr>
  </w:style>
  <w:style w:type="paragraph" w:styleId="Pta">
    <w:name w:val="footer"/>
    <w:basedOn w:val="Normlny"/>
    <w:link w:val="PtaChar"/>
    <w:uiPriority w:val="99"/>
    <w:unhideWhenUsed/>
    <w:rsid w:val="00FF70E6"/>
    <w:pPr>
      <w:tabs>
        <w:tab w:val="center" w:pos="4536"/>
        <w:tab w:val="right" w:pos="9072"/>
      </w:tabs>
      <w:spacing w:after="0" w:line="240" w:lineRule="auto"/>
    </w:pPr>
  </w:style>
  <w:style w:type="character" w:customStyle="1" w:styleId="PtaChar">
    <w:name w:val="Päta Char"/>
    <w:basedOn w:val="Predvolenpsmoodseku"/>
    <w:link w:val="Pta"/>
    <w:uiPriority w:val="99"/>
    <w:rsid w:val="00FF70E6"/>
    <w:rPr>
      <w:rFonts w:ascii="Arial Narrow" w:eastAsia="Times New Roman" w:hAnsi="Arial Narrow" w:cs="Times New Roman"/>
      <w:szCs w:val="36"/>
    </w:rPr>
  </w:style>
  <w:style w:type="paragraph" w:styleId="Odsekzoznamu">
    <w:name w:val="List Paragraph"/>
    <w:basedOn w:val="Normlny"/>
    <w:uiPriority w:val="34"/>
    <w:qFormat/>
    <w:rsid w:val="00584CAA"/>
    <w:pPr>
      <w:ind w:left="720"/>
      <w:contextualSpacing/>
    </w:pPr>
  </w:style>
  <w:style w:type="table" w:customStyle="1" w:styleId="ListTable1Light-Accent31">
    <w:name w:val="List Table 1 Light - Accent 31"/>
    <w:basedOn w:val="Normlnatabuka"/>
    <w:uiPriority w:val="46"/>
    <w:rsid w:val="006A61E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31">
    <w:name w:val="Grid Table 6 Colorful - Accent 31"/>
    <w:basedOn w:val="Normlnatabuka"/>
    <w:uiPriority w:val="51"/>
    <w:rsid w:val="0046601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PCKO2">
    <w:name w:val="MP CKO 2"/>
    <w:basedOn w:val="Nadpis3"/>
    <w:qFormat/>
    <w:rsid w:val="00BE0867"/>
    <w:pPr>
      <w:numPr>
        <w:ilvl w:val="0"/>
        <w:numId w:val="0"/>
      </w:numPr>
      <w:spacing w:before="200" w:line="240" w:lineRule="auto"/>
    </w:pPr>
    <w:rPr>
      <w:rFonts w:ascii="Times New Roman" w:hAnsi="Times New Roman"/>
      <w:b/>
      <w:bCs/>
      <w:color w:val="2E74B5" w:themeColor="accent1" w:themeShade="BF"/>
      <w:sz w:val="26"/>
      <w:szCs w:val="22"/>
    </w:rPr>
  </w:style>
  <w:style w:type="paragraph" w:customStyle="1" w:styleId="MPCKO3">
    <w:name w:val="MP CKO 3"/>
    <w:basedOn w:val="Nadpis4"/>
    <w:next w:val="Normlny"/>
    <w:qFormat/>
    <w:rsid w:val="00467622"/>
    <w:pPr>
      <w:numPr>
        <w:ilvl w:val="0"/>
        <w:numId w:val="0"/>
      </w:numPr>
      <w:spacing w:before="200" w:line="240" w:lineRule="auto"/>
    </w:pPr>
    <w:rPr>
      <w:rFonts w:ascii="Times New Roman" w:hAnsi="Times New Roman"/>
      <w:b/>
      <w:bCs/>
      <w:i w:val="0"/>
      <w:sz w:val="24"/>
      <w:szCs w:val="24"/>
      <w:lang w:eastAsia="sk-SK"/>
    </w:rPr>
  </w:style>
  <w:style w:type="paragraph" w:customStyle="1" w:styleId="Point0">
    <w:name w:val="Point 0"/>
    <w:basedOn w:val="Normlny"/>
    <w:rsid w:val="009B0CCA"/>
    <w:pPr>
      <w:spacing w:before="120" w:after="120" w:line="240" w:lineRule="auto"/>
      <w:ind w:left="850" w:hanging="850"/>
    </w:pPr>
    <w:rPr>
      <w:rFonts w:ascii="Times New Roman" w:eastAsia="Calibri" w:hAnsi="Times New Roman"/>
      <w:sz w:val="24"/>
      <w:szCs w:val="22"/>
      <w:lang w:eastAsia="sk-SK"/>
    </w:rPr>
  </w:style>
  <w:style w:type="paragraph" w:customStyle="1" w:styleId="Point0number">
    <w:name w:val="Point 0 (number)"/>
    <w:basedOn w:val="Normlny"/>
    <w:rsid w:val="00542CEE"/>
    <w:pPr>
      <w:numPr>
        <w:numId w:val="10"/>
      </w:numPr>
      <w:spacing w:before="120" w:after="120" w:line="240" w:lineRule="auto"/>
    </w:pPr>
    <w:rPr>
      <w:rFonts w:ascii="Times New Roman" w:eastAsia="Calibri" w:hAnsi="Times New Roman"/>
      <w:sz w:val="24"/>
      <w:szCs w:val="22"/>
      <w:lang w:eastAsia="sk-SK"/>
    </w:rPr>
  </w:style>
  <w:style w:type="paragraph" w:customStyle="1" w:styleId="Point1number">
    <w:name w:val="Point 1 (number)"/>
    <w:basedOn w:val="Normlny"/>
    <w:rsid w:val="00542CEE"/>
    <w:pPr>
      <w:numPr>
        <w:ilvl w:val="2"/>
        <w:numId w:val="10"/>
      </w:numPr>
      <w:spacing w:before="120" w:after="120" w:line="240" w:lineRule="auto"/>
    </w:pPr>
    <w:rPr>
      <w:rFonts w:ascii="Times New Roman" w:eastAsia="Calibri" w:hAnsi="Times New Roman"/>
      <w:sz w:val="24"/>
      <w:szCs w:val="22"/>
      <w:lang w:eastAsia="sk-SK"/>
    </w:rPr>
  </w:style>
  <w:style w:type="paragraph" w:customStyle="1" w:styleId="Point2number">
    <w:name w:val="Point 2 (number)"/>
    <w:basedOn w:val="Normlny"/>
    <w:rsid w:val="00542CEE"/>
    <w:pPr>
      <w:numPr>
        <w:ilvl w:val="4"/>
        <w:numId w:val="10"/>
      </w:numPr>
      <w:spacing w:before="120" w:after="120" w:line="240" w:lineRule="auto"/>
    </w:pPr>
    <w:rPr>
      <w:rFonts w:ascii="Times New Roman" w:eastAsia="Calibri" w:hAnsi="Times New Roman"/>
      <w:sz w:val="24"/>
      <w:szCs w:val="22"/>
      <w:lang w:eastAsia="sk-SK"/>
    </w:rPr>
  </w:style>
  <w:style w:type="paragraph" w:customStyle="1" w:styleId="Point3number">
    <w:name w:val="Point 3 (number)"/>
    <w:basedOn w:val="Normlny"/>
    <w:rsid w:val="00542CEE"/>
    <w:pPr>
      <w:numPr>
        <w:ilvl w:val="6"/>
        <w:numId w:val="10"/>
      </w:numPr>
      <w:spacing w:before="120" w:after="120" w:line="240" w:lineRule="auto"/>
    </w:pPr>
    <w:rPr>
      <w:rFonts w:ascii="Times New Roman" w:eastAsia="Calibri" w:hAnsi="Times New Roman"/>
      <w:sz w:val="24"/>
      <w:szCs w:val="22"/>
      <w:lang w:eastAsia="sk-SK"/>
    </w:rPr>
  </w:style>
  <w:style w:type="paragraph" w:customStyle="1" w:styleId="Point0letter">
    <w:name w:val="Point 0 (letter)"/>
    <w:basedOn w:val="Normlny"/>
    <w:rsid w:val="00542CEE"/>
    <w:pPr>
      <w:numPr>
        <w:ilvl w:val="1"/>
        <w:numId w:val="10"/>
      </w:numPr>
      <w:spacing w:before="120" w:after="120" w:line="240" w:lineRule="auto"/>
    </w:pPr>
    <w:rPr>
      <w:rFonts w:ascii="Times New Roman" w:eastAsia="Calibri" w:hAnsi="Times New Roman"/>
      <w:sz w:val="24"/>
      <w:szCs w:val="22"/>
      <w:lang w:eastAsia="sk-SK"/>
    </w:rPr>
  </w:style>
  <w:style w:type="paragraph" w:customStyle="1" w:styleId="Point1letter">
    <w:name w:val="Point 1 (letter)"/>
    <w:basedOn w:val="Normlny"/>
    <w:rsid w:val="00542CEE"/>
    <w:pPr>
      <w:numPr>
        <w:ilvl w:val="3"/>
        <w:numId w:val="10"/>
      </w:numPr>
      <w:spacing w:before="120" w:after="120" w:line="240" w:lineRule="auto"/>
    </w:pPr>
    <w:rPr>
      <w:rFonts w:ascii="Times New Roman" w:eastAsia="Calibri" w:hAnsi="Times New Roman"/>
      <w:sz w:val="24"/>
      <w:szCs w:val="22"/>
      <w:lang w:eastAsia="sk-SK"/>
    </w:rPr>
  </w:style>
  <w:style w:type="paragraph" w:customStyle="1" w:styleId="Point2letter">
    <w:name w:val="Point 2 (letter)"/>
    <w:basedOn w:val="Normlny"/>
    <w:rsid w:val="00542CEE"/>
    <w:pPr>
      <w:numPr>
        <w:ilvl w:val="5"/>
        <w:numId w:val="10"/>
      </w:numPr>
      <w:spacing w:before="120" w:after="120" w:line="240" w:lineRule="auto"/>
    </w:pPr>
    <w:rPr>
      <w:rFonts w:ascii="Times New Roman" w:eastAsia="Calibri" w:hAnsi="Times New Roman"/>
      <w:sz w:val="24"/>
      <w:szCs w:val="22"/>
      <w:lang w:eastAsia="sk-SK"/>
    </w:rPr>
  </w:style>
  <w:style w:type="paragraph" w:customStyle="1" w:styleId="Point3letter">
    <w:name w:val="Point 3 (letter)"/>
    <w:basedOn w:val="Normlny"/>
    <w:rsid w:val="00542CEE"/>
    <w:pPr>
      <w:numPr>
        <w:ilvl w:val="7"/>
        <w:numId w:val="10"/>
      </w:numPr>
      <w:spacing w:before="120" w:after="120" w:line="240" w:lineRule="auto"/>
    </w:pPr>
    <w:rPr>
      <w:rFonts w:ascii="Times New Roman" w:eastAsia="Calibri" w:hAnsi="Times New Roman"/>
      <w:sz w:val="24"/>
      <w:szCs w:val="22"/>
      <w:lang w:eastAsia="sk-SK"/>
    </w:rPr>
  </w:style>
  <w:style w:type="paragraph" w:customStyle="1" w:styleId="Point4letter">
    <w:name w:val="Point 4 (letter)"/>
    <w:basedOn w:val="Normlny"/>
    <w:rsid w:val="00542CEE"/>
    <w:pPr>
      <w:numPr>
        <w:ilvl w:val="8"/>
        <w:numId w:val="10"/>
      </w:numPr>
      <w:spacing w:before="120" w:after="120" w:line="240" w:lineRule="auto"/>
    </w:pPr>
    <w:rPr>
      <w:rFonts w:ascii="Times New Roman" w:eastAsia="Calibri" w:hAnsi="Times New Roman"/>
      <w:sz w:val="24"/>
      <w:szCs w:val="22"/>
      <w:lang w:eastAsia="sk-SK"/>
    </w:rPr>
  </w:style>
  <w:style w:type="paragraph" w:customStyle="1" w:styleId="Tiret1">
    <w:name w:val="Tiret 1"/>
    <w:basedOn w:val="Normlny"/>
    <w:rsid w:val="00A43CFD"/>
    <w:pPr>
      <w:numPr>
        <w:numId w:val="16"/>
      </w:numPr>
      <w:spacing w:before="120" w:after="120" w:line="240" w:lineRule="auto"/>
    </w:pPr>
    <w:rPr>
      <w:rFonts w:ascii="Times New Roman" w:eastAsia="Calibri" w:hAnsi="Times New Roman"/>
      <w:sz w:val="24"/>
      <w:szCs w:val="22"/>
      <w:lang w:eastAsia="sk-SK"/>
    </w:rPr>
  </w:style>
  <w:style w:type="paragraph" w:customStyle="1" w:styleId="Bullet0">
    <w:name w:val="Bullet 0"/>
    <w:basedOn w:val="Normlny"/>
    <w:rsid w:val="00A43CFD"/>
    <w:pPr>
      <w:numPr>
        <w:numId w:val="17"/>
      </w:numPr>
      <w:spacing w:before="120" w:after="120" w:line="240" w:lineRule="auto"/>
    </w:pPr>
    <w:rPr>
      <w:rFonts w:ascii="Times New Roman" w:eastAsia="Calibri" w:hAnsi="Times New Roman"/>
      <w:sz w:val="24"/>
      <w:szCs w:val="22"/>
      <w:lang w:eastAsia="sk-SK"/>
    </w:rPr>
  </w:style>
  <w:style w:type="paragraph" w:styleId="Zoznamsodrkami2">
    <w:name w:val="List Bullet 2"/>
    <w:basedOn w:val="Zoznamsodrkami"/>
    <w:rsid w:val="00152941"/>
    <w:pPr>
      <w:numPr>
        <w:numId w:val="18"/>
      </w:numPr>
      <w:tabs>
        <w:tab w:val="clear" w:pos="680"/>
      </w:tabs>
      <w:spacing w:before="130" w:after="130" w:line="240" w:lineRule="auto"/>
      <w:ind w:left="432" w:hanging="432"/>
      <w:contextualSpacing w:val="0"/>
    </w:pPr>
    <w:rPr>
      <w:rFonts w:ascii="Times New Roman" w:hAnsi="Times New Roman"/>
      <w:szCs w:val="20"/>
    </w:rPr>
  </w:style>
  <w:style w:type="paragraph" w:styleId="Normlnywebov">
    <w:name w:val="Normal (Web)"/>
    <w:basedOn w:val="Normlny"/>
    <w:uiPriority w:val="99"/>
    <w:unhideWhenUsed/>
    <w:rsid w:val="00152941"/>
    <w:pPr>
      <w:spacing w:before="100" w:beforeAutospacing="1" w:after="100" w:afterAutospacing="1" w:line="240" w:lineRule="auto"/>
      <w:jc w:val="left"/>
    </w:pPr>
    <w:rPr>
      <w:rFonts w:ascii="Times New Roman" w:hAnsi="Times New Roman"/>
      <w:sz w:val="24"/>
      <w:szCs w:val="24"/>
      <w:lang w:eastAsia="sk-SK"/>
    </w:rPr>
  </w:style>
  <w:style w:type="paragraph" w:styleId="Zoznamsodrkami">
    <w:name w:val="List Bullet"/>
    <w:basedOn w:val="Normlny"/>
    <w:uiPriority w:val="99"/>
    <w:semiHidden/>
    <w:unhideWhenUsed/>
    <w:rsid w:val="00152941"/>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17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atdat.statistics.sk/cognosext/cgi-bin/cognos.cgi?b_action=cognosViewer&amp;ui.action=run&amp;ui.object=storeID(%22i2F54CEABC9464EB6B9D47D7B63C86C2B%22)&amp;ui.name=Priemern%C3%A1%20mesa%C4%8Dn%C3%A1%20mzda%20pod%C4%BEa%20odvetv%C3%AD%20%5bpr0205qs%5d&amp;run.outputFormat=&amp;run.prompt=true&amp;cv.header=false&amp;ui.backURL=%2fcognosext%2fcps4%2fportlets%2fcommon%2fclose.html&amp;run.outputLocale=s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8CCB1544C04457B92B1A95FC444F10"/>
        <w:category>
          <w:name w:val="General"/>
          <w:gallery w:val="placeholder"/>
        </w:category>
        <w:types>
          <w:type w:val="bbPlcHdr"/>
        </w:types>
        <w:behaviors>
          <w:behavior w:val="content"/>
        </w:behaviors>
        <w:guid w:val="{03E499DD-A6E4-4CFD-A68A-95175DF6E1F7}"/>
      </w:docPartPr>
      <w:docPartBody>
        <w:p w:rsidR="00A44A97" w:rsidRDefault="00A44A97" w:rsidP="00A44A97">
          <w:pPr>
            <w:pStyle w:val="6C8CCB1544C04457B92B1A95FC444F10"/>
          </w:pPr>
          <w:r w:rsidRPr="00214E6A">
            <w:rPr>
              <w:rStyle w:val="Textzstupnhosymbolu"/>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97"/>
    <w:rsid w:val="0006614D"/>
    <w:rsid w:val="001008C1"/>
    <w:rsid w:val="001769FB"/>
    <w:rsid w:val="001D0B15"/>
    <w:rsid w:val="001E7C20"/>
    <w:rsid w:val="00206C2C"/>
    <w:rsid w:val="0027073D"/>
    <w:rsid w:val="00295761"/>
    <w:rsid w:val="002B7DC6"/>
    <w:rsid w:val="0031559F"/>
    <w:rsid w:val="003267DD"/>
    <w:rsid w:val="00372847"/>
    <w:rsid w:val="00393B34"/>
    <w:rsid w:val="003E423B"/>
    <w:rsid w:val="00456303"/>
    <w:rsid w:val="00483C72"/>
    <w:rsid w:val="004A4749"/>
    <w:rsid w:val="004C7627"/>
    <w:rsid w:val="00563A1A"/>
    <w:rsid w:val="005B35C5"/>
    <w:rsid w:val="005F3FBE"/>
    <w:rsid w:val="00606907"/>
    <w:rsid w:val="00620116"/>
    <w:rsid w:val="00774AC8"/>
    <w:rsid w:val="007C1A94"/>
    <w:rsid w:val="008362FA"/>
    <w:rsid w:val="0092308F"/>
    <w:rsid w:val="00986F62"/>
    <w:rsid w:val="00995929"/>
    <w:rsid w:val="009E00AC"/>
    <w:rsid w:val="00A44A97"/>
    <w:rsid w:val="00A75E5C"/>
    <w:rsid w:val="00B2101F"/>
    <w:rsid w:val="00B40947"/>
    <w:rsid w:val="00B52E9D"/>
    <w:rsid w:val="00BC39C5"/>
    <w:rsid w:val="00C66048"/>
    <w:rsid w:val="00CF6ADB"/>
    <w:rsid w:val="00D23F57"/>
    <w:rsid w:val="00D41E01"/>
    <w:rsid w:val="00DE5EBD"/>
    <w:rsid w:val="00E67B88"/>
    <w:rsid w:val="00F163C5"/>
    <w:rsid w:val="00F64381"/>
    <w:rsid w:val="00F663D4"/>
    <w:rsid w:val="00FB551C"/>
    <w:rsid w:val="00FF375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C39C5"/>
    <w:rPr>
      <w:color w:val="808080"/>
    </w:rPr>
  </w:style>
  <w:style w:type="paragraph" w:customStyle="1" w:styleId="ED6B9BCBEC364979AEF5DBC15EF46747">
    <w:name w:val="ED6B9BCBEC364979AEF5DBC15EF46747"/>
    <w:rsid w:val="00A44A97"/>
  </w:style>
  <w:style w:type="paragraph" w:customStyle="1" w:styleId="6C8CCB1544C04457B92B1A95FC444F10">
    <w:name w:val="6C8CCB1544C04457B92B1A95FC444F10"/>
    <w:rsid w:val="00A44A97"/>
  </w:style>
  <w:style w:type="paragraph" w:customStyle="1" w:styleId="7062BB9851F147C2AE0A0E2C55CF91AA">
    <w:name w:val="7062BB9851F147C2AE0A0E2C55CF91AA"/>
    <w:rsid w:val="0092308F"/>
  </w:style>
  <w:style w:type="paragraph" w:customStyle="1" w:styleId="7431734BDFD042DEB58F4D70908B95CD">
    <w:name w:val="7431734BDFD042DEB58F4D70908B95CD"/>
    <w:rsid w:val="0092308F"/>
  </w:style>
  <w:style w:type="paragraph" w:customStyle="1" w:styleId="E3959859F8CD452892C2A123D51FEE6B">
    <w:name w:val="E3959859F8CD452892C2A123D51FEE6B"/>
    <w:rsid w:val="009230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C39C5"/>
    <w:rPr>
      <w:color w:val="808080"/>
    </w:rPr>
  </w:style>
  <w:style w:type="paragraph" w:customStyle="1" w:styleId="ED6B9BCBEC364979AEF5DBC15EF46747">
    <w:name w:val="ED6B9BCBEC364979AEF5DBC15EF46747"/>
    <w:rsid w:val="00A44A97"/>
  </w:style>
  <w:style w:type="paragraph" w:customStyle="1" w:styleId="6C8CCB1544C04457B92B1A95FC444F10">
    <w:name w:val="6C8CCB1544C04457B92B1A95FC444F10"/>
    <w:rsid w:val="00A44A97"/>
  </w:style>
  <w:style w:type="paragraph" w:customStyle="1" w:styleId="7062BB9851F147C2AE0A0E2C55CF91AA">
    <w:name w:val="7062BB9851F147C2AE0A0E2C55CF91AA"/>
    <w:rsid w:val="0092308F"/>
  </w:style>
  <w:style w:type="paragraph" w:customStyle="1" w:styleId="7431734BDFD042DEB58F4D70908B95CD">
    <w:name w:val="7431734BDFD042DEB58F4D70908B95CD"/>
    <w:rsid w:val="0092308F"/>
  </w:style>
  <w:style w:type="paragraph" w:customStyle="1" w:styleId="E3959859F8CD452892C2A123D51FEE6B">
    <w:name w:val="E3959859F8CD452892C2A123D51FEE6B"/>
    <w:rsid w:val="009230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oradie xmlns="5b08e45c-a510-40ff-9eff-8a0049dda4d4">999</Poradi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14B44-FE08-4509-950C-B1102AA083A9}">
  <ds:schemaRefs>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5b08e45c-a510-40ff-9eff-8a0049dda4d4"/>
    <ds:schemaRef ds:uri="http://purl.org/dc/dcmitype/"/>
  </ds:schemaRefs>
</ds:datastoreItem>
</file>

<file path=customXml/itemProps2.xml><?xml version="1.0" encoding="utf-8"?>
<ds:datastoreItem xmlns:ds="http://schemas.openxmlformats.org/officeDocument/2006/customXml" ds:itemID="{6B6C71DD-8B18-4CD2-BE04-C18F10F18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2F26D48-7FC5-4255-A733-24977F169FD9}">
  <ds:schemaRefs>
    <ds:schemaRef ds:uri="http://schemas.microsoft.com/sharepoint/v3/contenttype/forms"/>
  </ds:schemaRefs>
</ds:datastoreItem>
</file>

<file path=customXml/itemProps4.xml><?xml version="1.0" encoding="utf-8"?>
<ds:datastoreItem xmlns:ds="http://schemas.openxmlformats.org/officeDocument/2006/customXml" ds:itemID="{81E03F51-2807-4E1D-B76F-7775BE9E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6175</Words>
  <Characters>35203</Characters>
  <Application>Microsoft Office Word</Application>
  <DocSecurity>0</DocSecurity>
  <Lines>293</Lines>
  <Paragraphs>82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Metodický pokyn k vypracovaniu finančnej analýzy projektu, analýzy nákladov a prínosov projektu, finančnej analýzy žiadateľa o NFP a Celkových nákladov na vlastníctvo v programovom období 2014 – 2020</vt:lpstr>
      <vt:lpstr>Metodický pokyn k vypracovaniu finančnej analýzy projektu, analýzy nákladov a prínosov projektu a finančnej analýzy žiadateľa o NFP v programovom období 2014 – 2020</vt:lpstr>
    </vt:vector>
  </TitlesOfParts>
  <LinksUpToDate>false</LinksUpToDate>
  <CharactersWithSpaces>41296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Metodický pokyn k vypracovaniu finančnej analýzy projektu, analýzy nákladov a prínosov projektu, finančnej analýzy žiadateľa o NFP a Celkových nákladov na vlastníctvo v programovom období 2014 – 2020</dc:title>
  <dcterms:created xsi:type="dcterms:W3CDTF">2015-06-18T09:36:00Z</dcterms:created>
  <dcterms:modified xsi:type="dcterms:W3CDTF">2015-06-18T09:36:00Z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0x01010059856BFDC3689E4798018B9B3DD766D0</vt:lpwstr>
  </property>
</Properties>
</file>